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A2D" w:rsidRDefault="00C63A2D" w:rsidP="00C63A2D">
      <w:pPr>
        <w:pStyle w:val="THELEADERSHIPCONFERENCE"/>
        <w:rPr>
          <w:szCs w:val="22"/>
        </w:rPr>
      </w:pPr>
      <w:r>
        <w:rPr>
          <w:szCs w:val="22"/>
        </w:rPr>
        <w:t>July</w:t>
      </w:r>
      <w:r w:rsidRPr="00371ED3">
        <w:rPr>
          <w:szCs w:val="22"/>
        </w:rPr>
        <w:t xml:space="preserve"> </w:t>
      </w:r>
      <w:r w:rsidR="005109D7">
        <w:rPr>
          <w:szCs w:val="22"/>
        </w:rPr>
        <w:t>13</w:t>
      </w:r>
      <w:r w:rsidRPr="00371ED3">
        <w:rPr>
          <w:szCs w:val="22"/>
        </w:rPr>
        <w:t>, 2016</w:t>
      </w:r>
    </w:p>
    <w:p w:rsidR="00C63A2D" w:rsidRPr="00371ED3" w:rsidRDefault="00C63A2D" w:rsidP="00C63A2D">
      <w:pPr>
        <w:pStyle w:val="THELEADERSHIPCONFERENCE"/>
        <w:rPr>
          <w:szCs w:val="22"/>
        </w:rPr>
      </w:pPr>
    </w:p>
    <w:p w:rsidR="00C63A2D" w:rsidRPr="00371ED3" w:rsidRDefault="00C63A2D" w:rsidP="00C63A2D">
      <w:pPr>
        <w:pStyle w:val="THELEADERSHIPCONFERENCE"/>
        <w:rPr>
          <w:szCs w:val="22"/>
        </w:rPr>
      </w:pPr>
      <w:proofErr w:type="gramStart"/>
      <w:r w:rsidRPr="00371ED3">
        <w:rPr>
          <w:szCs w:val="22"/>
        </w:rPr>
        <w:t>The Honorable John B. King, Jr.</w:t>
      </w:r>
      <w:proofErr w:type="gramEnd"/>
    </w:p>
    <w:p w:rsidR="00C63A2D" w:rsidRDefault="00C63A2D" w:rsidP="00C63A2D">
      <w:pPr>
        <w:pStyle w:val="THELEADERSHIPCONFERENCE"/>
        <w:rPr>
          <w:szCs w:val="22"/>
        </w:rPr>
      </w:pPr>
      <w:r w:rsidRPr="00371ED3">
        <w:rPr>
          <w:szCs w:val="22"/>
        </w:rPr>
        <w:t>Secretary</w:t>
      </w:r>
    </w:p>
    <w:p w:rsidR="00C63A2D" w:rsidRPr="00371ED3" w:rsidRDefault="00C63A2D" w:rsidP="00C63A2D">
      <w:pPr>
        <w:pStyle w:val="THELEADERSHIPCONFERENCE"/>
        <w:rPr>
          <w:szCs w:val="22"/>
        </w:rPr>
      </w:pPr>
      <w:r w:rsidRPr="00371ED3">
        <w:rPr>
          <w:szCs w:val="22"/>
        </w:rPr>
        <w:t xml:space="preserve">U.S. Department of Education </w:t>
      </w:r>
    </w:p>
    <w:p w:rsidR="00C63A2D" w:rsidRPr="00371ED3" w:rsidRDefault="00C63A2D" w:rsidP="00C63A2D">
      <w:pPr>
        <w:pStyle w:val="THELEADERSHIPCONFERENCE"/>
        <w:rPr>
          <w:szCs w:val="22"/>
        </w:rPr>
      </w:pPr>
      <w:r w:rsidRPr="00371ED3">
        <w:rPr>
          <w:szCs w:val="22"/>
        </w:rPr>
        <w:t>400 Maryland Avenue, SW</w:t>
      </w:r>
    </w:p>
    <w:p w:rsidR="00C63A2D" w:rsidRPr="00371ED3" w:rsidRDefault="00C63A2D" w:rsidP="00C63A2D">
      <w:pPr>
        <w:pStyle w:val="THELEADERSHIPCONFERENCE"/>
        <w:rPr>
          <w:szCs w:val="22"/>
        </w:rPr>
      </w:pPr>
      <w:r w:rsidRPr="00371ED3">
        <w:rPr>
          <w:szCs w:val="22"/>
        </w:rPr>
        <w:t>Washington, D.C. 20202</w:t>
      </w:r>
    </w:p>
    <w:p w:rsidR="00C63A2D" w:rsidRDefault="00C63A2D" w:rsidP="00C63A2D">
      <w:pPr>
        <w:pStyle w:val="THELEADERSHIPCONFERENCE"/>
        <w:rPr>
          <w:szCs w:val="22"/>
        </w:rPr>
      </w:pPr>
    </w:p>
    <w:p w:rsidR="00C63A2D" w:rsidRDefault="00C63A2D" w:rsidP="00C63A2D">
      <w:pPr>
        <w:pStyle w:val="THELEADERSHIPCONFERENCE"/>
        <w:rPr>
          <w:szCs w:val="22"/>
        </w:rPr>
      </w:pPr>
      <w:r>
        <w:rPr>
          <w:szCs w:val="22"/>
        </w:rPr>
        <w:t>Dear Secretary King,</w:t>
      </w:r>
    </w:p>
    <w:p w:rsidR="00C63A2D" w:rsidRDefault="00C63A2D" w:rsidP="00C63A2D">
      <w:pPr>
        <w:pStyle w:val="THELEADERSHIPCONFERENCE"/>
        <w:tabs>
          <w:tab w:val="clear" w:pos="180"/>
          <w:tab w:val="left" w:pos="930"/>
        </w:tabs>
        <w:rPr>
          <w:szCs w:val="22"/>
        </w:rPr>
      </w:pPr>
      <w:r>
        <w:rPr>
          <w:szCs w:val="22"/>
        </w:rPr>
        <w:tab/>
      </w:r>
      <w:r>
        <w:rPr>
          <w:szCs w:val="22"/>
        </w:rPr>
        <w:tab/>
      </w:r>
    </w:p>
    <w:p w:rsidR="00C63A2D" w:rsidRDefault="00C63A2D" w:rsidP="00C63A2D">
      <w:pPr>
        <w:pStyle w:val="Header"/>
        <w:tabs>
          <w:tab w:val="left" w:pos="720"/>
        </w:tabs>
        <w:spacing w:line="280" w:lineRule="exact"/>
        <w:rPr>
          <w:sz w:val="22"/>
          <w:szCs w:val="22"/>
        </w:rPr>
      </w:pPr>
      <w:r w:rsidRPr="00371ED3">
        <w:rPr>
          <w:sz w:val="22"/>
          <w:szCs w:val="22"/>
        </w:rPr>
        <w:t xml:space="preserve">On behalf of the </w:t>
      </w:r>
      <w:r>
        <w:rPr>
          <w:sz w:val="22"/>
          <w:szCs w:val="22"/>
        </w:rPr>
        <w:t>National Women’s Law Center</w:t>
      </w:r>
      <w:r w:rsidR="002F40F6">
        <w:rPr>
          <w:sz w:val="22"/>
          <w:szCs w:val="22"/>
        </w:rPr>
        <w:t xml:space="preserve"> and </w:t>
      </w:r>
      <w:r w:rsidR="005A0AF3">
        <w:rPr>
          <w:sz w:val="22"/>
          <w:szCs w:val="22"/>
        </w:rPr>
        <w:t>the 85</w:t>
      </w:r>
      <w:r w:rsidRPr="00371ED3">
        <w:rPr>
          <w:sz w:val="22"/>
          <w:szCs w:val="22"/>
        </w:rPr>
        <w:t xml:space="preserve"> undersigned organizations, we write in support of the U.S. Department of Education’s efforts to address sex discrimination in our nation’s schools. Specifically, the 2010 Dear Colleague Letter on Bullying and Harassment, the 2011 Dear Colleague Letter on Sexual Violence and accompanying 2014 Questions and Answers on Title IX and Sexual Violence, and the 2016 Dear Colleague Letter on Transgender Students have provided much needed clarification of what Title IX requires schools to do to prevent and address sex discrimination in educational programs. These guidance documents and increased enforcement of Title IX by the Office for Civil Rights have spurred schools to address cultures that for too long have contributed to hostile environments which deprive many </w:t>
      </w:r>
      <w:r w:rsidR="008F4FEC">
        <w:rPr>
          <w:sz w:val="22"/>
          <w:szCs w:val="22"/>
        </w:rPr>
        <w:t xml:space="preserve">students </w:t>
      </w:r>
      <w:r w:rsidRPr="00371ED3">
        <w:rPr>
          <w:sz w:val="22"/>
          <w:szCs w:val="22"/>
        </w:rPr>
        <w:t>of equal educational opportunities.</w:t>
      </w:r>
    </w:p>
    <w:p w:rsidR="00C63A2D" w:rsidRPr="00371ED3" w:rsidRDefault="00C63A2D" w:rsidP="00C63A2D">
      <w:pPr>
        <w:pStyle w:val="Header"/>
        <w:tabs>
          <w:tab w:val="left" w:pos="720"/>
        </w:tabs>
        <w:spacing w:line="280" w:lineRule="exact"/>
        <w:rPr>
          <w:sz w:val="22"/>
          <w:szCs w:val="22"/>
        </w:rPr>
      </w:pPr>
    </w:p>
    <w:p w:rsidR="00C63A2D" w:rsidRPr="00371ED3" w:rsidRDefault="00C63A2D" w:rsidP="00C63A2D">
      <w:pPr>
        <w:pStyle w:val="Header"/>
        <w:tabs>
          <w:tab w:val="left" w:pos="720"/>
        </w:tabs>
        <w:spacing w:line="280" w:lineRule="exact"/>
        <w:rPr>
          <w:sz w:val="22"/>
          <w:szCs w:val="22"/>
        </w:rPr>
      </w:pPr>
      <w:r w:rsidRPr="00371ED3">
        <w:rPr>
          <w:sz w:val="22"/>
          <w:szCs w:val="22"/>
        </w:rPr>
        <w:t>Unfortunately, the Department is facing unwarranted criticism for doing its job. Some advocacy organizations, law professors, and legislators claim that the Department violated the Administrative Procedure Act (APA) by issuing the above guidance documents without going through a formal notice and comment process. They also allege that grievance procedures outlined in the 2011 sexual violence guidance violate due process rights of students accused of sexual assault. Both of these arguments are without merit.</w:t>
      </w:r>
    </w:p>
    <w:p w:rsidR="00455FDE" w:rsidRDefault="00455FDE" w:rsidP="00C63A2D">
      <w:pPr>
        <w:pStyle w:val="Header"/>
        <w:tabs>
          <w:tab w:val="left" w:pos="720"/>
        </w:tabs>
        <w:spacing w:line="280" w:lineRule="exact"/>
        <w:rPr>
          <w:sz w:val="22"/>
          <w:szCs w:val="22"/>
        </w:rPr>
      </w:pPr>
    </w:p>
    <w:p w:rsidR="00C63A2D" w:rsidRDefault="00C63A2D" w:rsidP="00C63A2D">
      <w:pPr>
        <w:pStyle w:val="Header"/>
        <w:tabs>
          <w:tab w:val="left" w:pos="720"/>
        </w:tabs>
        <w:spacing w:line="280" w:lineRule="exact"/>
        <w:rPr>
          <w:sz w:val="22"/>
          <w:szCs w:val="22"/>
        </w:rPr>
      </w:pPr>
      <w:r w:rsidRPr="00371ED3">
        <w:rPr>
          <w:sz w:val="22"/>
          <w:szCs w:val="22"/>
        </w:rPr>
        <w:t>First, despite what detractors claim, the guidance letters under attack are not new rules but simply clarifications of existing rights under Title IX.</w:t>
      </w:r>
      <w:r w:rsidRPr="00371ED3">
        <w:rPr>
          <w:sz w:val="22"/>
          <w:szCs w:val="22"/>
          <w:vertAlign w:val="superscript"/>
        </w:rPr>
        <w:footnoteReference w:id="1"/>
      </w:r>
      <w:r w:rsidRPr="00371ED3">
        <w:rPr>
          <w:sz w:val="22"/>
          <w:szCs w:val="22"/>
        </w:rPr>
        <w:t xml:space="preserve"> As such, they were not required to go through the notice and comment process.</w:t>
      </w:r>
      <w:r w:rsidRPr="00371ED3">
        <w:rPr>
          <w:sz w:val="22"/>
          <w:szCs w:val="22"/>
          <w:vertAlign w:val="superscript"/>
        </w:rPr>
        <w:footnoteReference w:id="2"/>
      </w:r>
      <w:r w:rsidRPr="00371ED3">
        <w:rPr>
          <w:sz w:val="22"/>
          <w:szCs w:val="22"/>
        </w:rPr>
        <w:t xml:space="preserve"> As recently as 2015, the Supreme Court has reaffirmed that the APA allows federal agencies to issue “interpretive rules” that explain how the agency construes the laws and regulations it enforces.</w:t>
      </w:r>
      <w:r w:rsidRPr="00371ED3">
        <w:rPr>
          <w:sz w:val="22"/>
          <w:szCs w:val="22"/>
          <w:vertAlign w:val="superscript"/>
        </w:rPr>
        <w:footnoteReference w:id="3"/>
      </w:r>
      <w:r w:rsidRPr="00371ED3">
        <w:rPr>
          <w:sz w:val="22"/>
          <w:szCs w:val="22"/>
        </w:rPr>
        <w:t xml:space="preserve"> Interpretive rules do not require notice and comment.</w:t>
      </w:r>
      <w:r w:rsidRPr="00371ED3">
        <w:rPr>
          <w:sz w:val="22"/>
          <w:szCs w:val="22"/>
          <w:vertAlign w:val="superscript"/>
        </w:rPr>
        <w:footnoteReference w:id="4"/>
      </w:r>
      <w:r w:rsidRPr="00371ED3">
        <w:rPr>
          <w:sz w:val="22"/>
          <w:szCs w:val="22"/>
        </w:rPr>
        <w:t xml:space="preserve"> Because the guidance documents set forth above are interpretive rules clarifying the Department’s construction of Title IX, the Department did not violate the APA in issuing them.</w:t>
      </w:r>
    </w:p>
    <w:p w:rsidR="00C63A2D" w:rsidRPr="00371ED3" w:rsidRDefault="00C63A2D" w:rsidP="00C63A2D">
      <w:pPr>
        <w:pStyle w:val="Header"/>
        <w:tabs>
          <w:tab w:val="left" w:pos="720"/>
        </w:tabs>
        <w:spacing w:line="280" w:lineRule="exact"/>
        <w:rPr>
          <w:sz w:val="22"/>
          <w:szCs w:val="22"/>
        </w:rPr>
      </w:pPr>
      <w:r w:rsidRPr="00371ED3">
        <w:rPr>
          <w:sz w:val="22"/>
          <w:szCs w:val="22"/>
        </w:rPr>
        <w:t xml:space="preserve"> </w:t>
      </w:r>
    </w:p>
    <w:p w:rsidR="00C63A2D" w:rsidRDefault="00C63A2D" w:rsidP="00C63A2D">
      <w:pPr>
        <w:pStyle w:val="Header"/>
        <w:tabs>
          <w:tab w:val="left" w:pos="720"/>
        </w:tabs>
        <w:spacing w:line="280" w:lineRule="exact"/>
        <w:rPr>
          <w:sz w:val="22"/>
          <w:szCs w:val="22"/>
        </w:rPr>
      </w:pPr>
      <w:r w:rsidRPr="00371ED3">
        <w:rPr>
          <w:sz w:val="22"/>
          <w:szCs w:val="22"/>
        </w:rPr>
        <w:t xml:space="preserve">Nor does the 2011 sexual violence guidance deprive accused students of due process. Since </w:t>
      </w:r>
      <w:r w:rsidR="005109D7">
        <w:rPr>
          <w:sz w:val="22"/>
          <w:szCs w:val="22"/>
        </w:rPr>
        <w:t xml:space="preserve">the </w:t>
      </w:r>
      <w:r w:rsidRPr="00371ED3">
        <w:rPr>
          <w:sz w:val="22"/>
          <w:szCs w:val="22"/>
        </w:rPr>
        <w:t xml:space="preserve">Title IX </w:t>
      </w:r>
      <w:proofErr w:type="gramStart"/>
      <w:r w:rsidRPr="00371ED3">
        <w:rPr>
          <w:sz w:val="22"/>
          <w:szCs w:val="22"/>
        </w:rPr>
        <w:t>regulations</w:t>
      </w:r>
      <w:proofErr w:type="gramEnd"/>
      <w:r w:rsidRPr="00371ED3">
        <w:rPr>
          <w:sz w:val="22"/>
          <w:szCs w:val="22"/>
        </w:rPr>
        <w:t xml:space="preserve"> were issued in 1975, educational programs have been required to create “grievance procedures providing for prompt and </w:t>
      </w:r>
      <w:r w:rsidRPr="00371ED3">
        <w:rPr>
          <w:i/>
          <w:sz w:val="22"/>
          <w:szCs w:val="22"/>
        </w:rPr>
        <w:t>equitable</w:t>
      </w:r>
      <w:r w:rsidRPr="00371ED3">
        <w:rPr>
          <w:sz w:val="22"/>
          <w:szCs w:val="22"/>
        </w:rPr>
        <w:t xml:space="preserve"> resolution” of complaints (emphasis added).</w:t>
      </w:r>
      <w:r w:rsidRPr="00371ED3">
        <w:rPr>
          <w:sz w:val="22"/>
          <w:szCs w:val="22"/>
          <w:vertAlign w:val="superscript"/>
        </w:rPr>
        <w:footnoteReference w:id="5"/>
      </w:r>
      <w:r w:rsidRPr="00371ED3">
        <w:rPr>
          <w:sz w:val="22"/>
          <w:szCs w:val="22"/>
        </w:rPr>
        <w:t xml:space="preserve"> The 2011 guidance </w:t>
      </w:r>
      <w:r w:rsidRPr="00371ED3">
        <w:rPr>
          <w:sz w:val="22"/>
          <w:szCs w:val="22"/>
        </w:rPr>
        <w:lastRenderedPageBreak/>
        <w:t xml:space="preserve">further clarified what constitutes an </w:t>
      </w:r>
      <w:r w:rsidRPr="00371ED3">
        <w:rPr>
          <w:i/>
          <w:sz w:val="22"/>
          <w:szCs w:val="22"/>
        </w:rPr>
        <w:t>equitable</w:t>
      </w:r>
      <w:r w:rsidRPr="00371ED3">
        <w:rPr>
          <w:sz w:val="22"/>
          <w:szCs w:val="22"/>
        </w:rPr>
        <w:t xml:space="preserve"> grievance procedure. Namely, the Department reminded schools that both the complainant and the respondent should have the same rights in any grievance procedure—e.g., the same right to review documents, the same right to counsel, the same right to present witnesses and evidence, and the same right to an appeal.</w:t>
      </w:r>
    </w:p>
    <w:p w:rsidR="00C63A2D" w:rsidRPr="00371ED3" w:rsidRDefault="00C63A2D" w:rsidP="00C63A2D">
      <w:pPr>
        <w:pStyle w:val="Header"/>
        <w:tabs>
          <w:tab w:val="left" w:pos="720"/>
        </w:tabs>
        <w:spacing w:line="280" w:lineRule="exact"/>
        <w:rPr>
          <w:sz w:val="22"/>
          <w:szCs w:val="22"/>
        </w:rPr>
      </w:pPr>
      <w:r w:rsidRPr="00371ED3">
        <w:rPr>
          <w:sz w:val="22"/>
          <w:szCs w:val="22"/>
        </w:rPr>
        <w:t xml:space="preserve"> </w:t>
      </w:r>
    </w:p>
    <w:p w:rsidR="00C63A2D" w:rsidRDefault="00C63A2D" w:rsidP="00C63A2D">
      <w:pPr>
        <w:pStyle w:val="Header"/>
        <w:tabs>
          <w:tab w:val="left" w:pos="720"/>
        </w:tabs>
        <w:spacing w:line="280" w:lineRule="exact"/>
        <w:rPr>
          <w:sz w:val="22"/>
          <w:szCs w:val="22"/>
        </w:rPr>
      </w:pPr>
      <w:r w:rsidRPr="00371ED3">
        <w:rPr>
          <w:sz w:val="22"/>
          <w:szCs w:val="22"/>
        </w:rPr>
        <w:t>Moreover, the Department clarified that an equitable grievance procedure means that both the complainant and respondent bear the same burden of proof—i.e., that schools should use the preponderance of the evidence standard. This standard is used in cases alleging discrimination under other civil rights laws,</w:t>
      </w:r>
      <w:r w:rsidRPr="00371ED3">
        <w:rPr>
          <w:sz w:val="22"/>
          <w:szCs w:val="22"/>
          <w:vertAlign w:val="superscript"/>
        </w:rPr>
        <w:footnoteReference w:id="6"/>
      </w:r>
      <w:r w:rsidRPr="00371ED3">
        <w:rPr>
          <w:sz w:val="22"/>
          <w:szCs w:val="22"/>
        </w:rPr>
        <w:t xml:space="preserve"> in civil lawsuits between two private parties (including suits related to possibly criminal conduct such as tort actions for battery or murder/wrongful death), and in 80 percent of schools according to a 2002 report issued well before the 2011 guidance. In fact, by demanding equitable treatment of both the respondent and complainant, the Department’s interpretation of Title IX provides students accused of sexual assault with procedural protections beyond those the Supreme Court has said </w:t>
      </w:r>
      <w:proofErr w:type="gramStart"/>
      <w:r w:rsidRPr="00371ED3">
        <w:rPr>
          <w:sz w:val="22"/>
          <w:szCs w:val="22"/>
        </w:rPr>
        <w:t>are guaranteed</w:t>
      </w:r>
      <w:proofErr w:type="gramEnd"/>
      <w:r w:rsidRPr="00371ED3">
        <w:rPr>
          <w:sz w:val="22"/>
          <w:szCs w:val="22"/>
        </w:rPr>
        <w:t xml:space="preserve"> under the U.S. Constitution.</w:t>
      </w:r>
      <w:r w:rsidRPr="00371ED3">
        <w:rPr>
          <w:sz w:val="22"/>
          <w:szCs w:val="22"/>
          <w:vertAlign w:val="superscript"/>
        </w:rPr>
        <w:footnoteReference w:id="7"/>
      </w:r>
    </w:p>
    <w:p w:rsidR="00C63A2D" w:rsidRPr="00371ED3" w:rsidRDefault="00C63A2D" w:rsidP="00C63A2D">
      <w:pPr>
        <w:pStyle w:val="Header"/>
        <w:tabs>
          <w:tab w:val="left" w:pos="720"/>
        </w:tabs>
        <w:spacing w:line="280" w:lineRule="exact"/>
        <w:rPr>
          <w:sz w:val="22"/>
          <w:szCs w:val="22"/>
        </w:rPr>
      </w:pPr>
      <w:r w:rsidRPr="00371ED3">
        <w:rPr>
          <w:sz w:val="22"/>
          <w:szCs w:val="22"/>
        </w:rPr>
        <w:t xml:space="preserve"> </w:t>
      </w:r>
    </w:p>
    <w:p w:rsidR="00C63A2D" w:rsidRDefault="00C63A2D" w:rsidP="00C63A2D">
      <w:pPr>
        <w:pStyle w:val="Header"/>
        <w:tabs>
          <w:tab w:val="left" w:pos="720"/>
        </w:tabs>
        <w:spacing w:line="280" w:lineRule="exact"/>
        <w:rPr>
          <w:bCs/>
          <w:sz w:val="22"/>
          <w:szCs w:val="22"/>
        </w:rPr>
      </w:pPr>
      <w:r w:rsidRPr="00371ED3">
        <w:rPr>
          <w:bCs/>
          <w:sz w:val="22"/>
          <w:szCs w:val="22"/>
        </w:rPr>
        <w:t xml:space="preserve">The Department’s Title IX guidance letters and enforcement have been vital in the effort to ensure that students </w:t>
      </w:r>
      <w:proofErr w:type="gramStart"/>
      <w:r w:rsidRPr="00371ED3">
        <w:rPr>
          <w:bCs/>
          <w:sz w:val="22"/>
          <w:szCs w:val="22"/>
        </w:rPr>
        <w:t>are not discriminated against</w:t>
      </w:r>
      <w:proofErr w:type="gramEnd"/>
      <w:r w:rsidRPr="00371ED3">
        <w:rPr>
          <w:bCs/>
          <w:sz w:val="22"/>
          <w:szCs w:val="22"/>
        </w:rPr>
        <w:t xml:space="preserve"> based on sex in school. Yet, as advocates for civil rights, women’s rights, disability rights, LGBTQ rights, immigrant</w:t>
      </w:r>
      <w:r w:rsidR="005109D7">
        <w:rPr>
          <w:bCs/>
          <w:sz w:val="22"/>
          <w:szCs w:val="22"/>
        </w:rPr>
        <w:t>s’</w:t>
      </w:r>
      <w:r w:rsidRPr="00371ED3">
        <w:rPr>
          <w:bCs/>
          <w:sz w:val="22"/>
          <w:szCs w:val="22"/>
        </w:rPr>
        <w:t xml:space="preserve"> rights, racial justice, economic justice, education, and youth, we know that such discrimination continues to deny </w:t>
      </w:r>
      <w:proofErr w:type="gramStart"/>
      <w:r w:rsidRPr="00371ED3">
        <w:rPr>
          <w:bCs/>
          <w:sz w:val="22"/>
          <w:szCs w:val="22"/>
        </w:rPr>
        <w:t>students</w:t>
      </w:r>
      <w:proofErr w:type="gramEnd"/>
      <w:r w:rsidRPr="00371ED3">
        <w:rPr>
          <w:bCs/>
          <w:sz w:val="22"/>
          <w:szCs w:val="22"/>
        </w:rPr>
        <w:t xml:space="preserve"> equal access to education at all levels</w:t>
      </w:r>
      <w:r w:rsidR="00687992" w:rsidRPr="00371ED3">
        <w:rPr>
          <w:bCs/>
          <w:sz w:val="22"/>
          <w:szCs w:val="22"/>
        </w:rPr>
        <w:t xml:space="preserve">. </w:t>
      </w:r>
      <w:r w:rsidRPr="00371ED3">
        <w:rPr>
          <w:bCs/>
          <w:sz w:val="22"/>
          <w:szCs w:val="22"/>
        </w:rPr>
        <w:t>We urge the Department to continue helping schools understand their legal obligations—for example, by providing materials and guidance focused on sexual violence in elementary and secondary schools</w:t>
      </w:r>
      <w:proofErr w:type="gramStart"/>
      <w:r w:rsidRPr="00371ED3">
        <w:rPr>
          <w:bCs/>
          <w:sz w:val="22"/>
          <w:szCs w:val="22"/>
        </w:rPr>
        <w:t>—which</w:t>
      </w:r>
      <w:proofErr w:type="gramEnd"/>
      <w:r w:rsidRPr="00371ED3">
        <w:rPr>
          <w:bCs/>
          <w:sz w:val="22"/>
          <w:szCs w:val="22"/>
        </w:rPr>
        <w:t xml:space="preserve"> affects a significant portion of the children we represent.</w:t>
      </w:r>
    </w:p>
    <w:p w:rsidR="00C63A2D" w:rsidRPr="00371ED3" w:rsidRDefault="00C63A2D" w:rsidP="00C63A2D">
      <w:pPr>
        <w:pStyle w:val="Header"/>
        <w:tabs>
          <w:tab w:val="left" w:pos="720"/>
        </w:tabs>
        <w:spacing w:line="280" w:lineRule="exact"/>
        <w:rPr>
          <w:bCs/>
          <w:sz w:val="22"/>
          <w:szCs w:val="22"/>
        </w:rPr>
      </w:pPr>
      <w:r w:rsidRPr="00371ED3">
        <w:rPr>
          <w:bCs/>
          <w:sz w:val="22"/>
          <w:szCs w:val="22"/>
        </w:rPr>
        <w:t xml:space="preserve"> </w:t>
      </w:r>
    </w:p>
    <w:p w:rsidR="00C63A2D" w:rsidRPr="00371ED3" w:rsidRDefault="00C63A2D" w:rsidP="00C63A2D">
      <w:pPr>
        <w:pStyle w:val="Header"/>
        <w:tabs>
          <w:tab w:val="left" w:pos="720"/>
        </w:tabs>
        <w:spacing w:line="280" w:lineRule="exact"/>
        <w:rPr>
          <w:bCs/>
          <w:sz w:val="22"/>
          <w:szCs w:val="22"/>
        </w:rPr>
      </w:pPr>
      <w:r w:rsidRPr="00371ED3">
        <w:rPr>
          <w:bCs/>
          <w:sz w:val="22"/>
          <w:szCs w:val="22"/>
        </w:rPr>
        <w:t>Thank you for your vigilance in ensuring that schools live up to their obligations under federal civil rights laws and</w:t>
      </w:r>
      <w:r w:rsidR="005109D7">
        <w:rPr>
          <w:bCs/>
          <w:sz w:val="22"/>
          <w:szCs w:val="22"/>
        </w:rPr>
        <w:t xml:space="preserve"> for</w:t>
      </w:r>
      <w:r w:rsidRPr="00371ED3">
        <w:rPr>
          <w:bCs/>
          <w:sz w:val="22"/>
          <w:szCs w:val="22"/>
        </w:rPr>
        <w:t xml:space="preserve"> fighting discrimination in the classroom and on campus. If you have any questions, please contact Neena Chaudhry (</w:t>
      </w:r>
      <w:hyperlink r:id="rId7" w:history="1">
        <w:r w:rsidRPr="00371ED3">
          <w:rPr>
            <w:rStyle w:val="Hyperlink"/>
            <w:bCs/>
            <w:sz w:val="22"/>
            <w:szCs w:val="22"/>
          </w:rPr>
          <w:t>nchaudhry@nwlc.org</w:t>
        </w:r>
      </w:hyperlink>
      <w:r w:rsidRPr="00371ED3">
        <w:rPr>
          <w:bCs/>
          <w:sz w:val="22"/>
          <w:szCs w:val="22"/>
          <w:u w:val="single"/>
        </w:rPr>
        <w:t>)</w:t>
      </w:r>
      <w:r w:rsidRPr="00371ED3">
        <w:rPr>
          <w:bCs/>
          <w:sz w:val="22"/>
          <w:szCs w:val="22"/>
        </w:rPr>
        <w:t xml:space="preserve"> or Adaku Onyeka-Crawford (</w:t>
      </w:r>
      <w:hyperlink r:id="rId8" w:history="1">
        <w:r w:rsidRPr="00371ED3">
          <w:rPr>
            <w:rStyle w:val="Hyperlink"/>
            <w:bCs/>
            <w:sz w:val="22"/>
            <w:szCs w:val="22"/>
          </w:rPr>
          <w:t>aocrawford@nwlc.org</w:t>
        </w:r>
      </w:hyperlink>
      <w:r w:rsidRPr="00371ED3">
        <w:rPr>
          <w:bCs/>
          <w:sz w:val="22"/>
          <w:szCs w:val="22"/>
          <w:u w:val="single"/>
        </w:rPr>
        <w:t>)</w:t>
      </w:r>
      <w:r w:rsidRPr="00371ED3">
        <w:rPr>
          <w:bCs/>
          <w:sz w:val="22"/>
          <w:szCs w:val="22"/>
        </w:rPr>
        <w:t xml:space="preserve"> at the National Women’s Law Center at 202.588.5180.</w:t>
      </w:r>
    </w:p>
    <w:p w:rsidR="00C63A2D" w:rsidRDefault="00C63A2D" w:rsidP="00C63A2D">
      <w:pPr>
        <w:pStyle w:val="Header"/>
        <w:tabs>
          <w:tab w:val="left" w:pos="720"/>
        </w:tabs>
        <w:spacing w:line="280" w:lineRule="exact"/>
        <w:rPr>
          <w:bCs/>
          <w:sz w:val="22"/>
          <w:szCs w:val="22"/>
        </w:rPr>
      </w:pPr>
    </w:p>
    <w:p w:rsidR="00C63A2D" w:rsidRPr="00371ED3" w:rsidRDefault="00C63A2D" w:rsidP="00C63A2D">
      <w:pPr>
        <w:pStyle w:val="Header"/>
        <w:tabs>
          <w:tab w:val="left" w:pos="720"/>
        </w:tabs>
        <w:spacing w:line="280" w:lineRule="exact"/>
        <w:rPr>
          <w:bCs/>
          <w:sz w:val="22"/>
          <w:szCs w:val="22"/>
        </w:rPr>
      </w:pPr>
      <w:r w:rsidRPr="00371ED3">
        <w:rPr>
          <w:bCs/>
          <w:sz w:val="22"/>
          <w:szCs w:val="22"/>
        </w:rPr>
        <w:t>Sincerely,</w:t>
      </w:r>
    </w:p>
    <w:p w:rsidR="00C63A2D" w:rsidRDefault="00C63A2D" w:rsidP="00C63A2D">
      <w:pPr>
        <w:pStyle w:val="Header"/>
        <w:tabs>
          <w:tab w:val="left" w:pos="720"/>
        </w:tabs>
        <w:spacing w:line="280" w:lineRule="exact"/>
        <w:rPr>
          <w:sz w:val="22"/>
          <w:szCs w:val="22"/>
        </w:rPr>
      </w:pPr>
    </w:p>
    <w:p w:rsidR="00C63A2D" w:rsidRDefault="00C63A2D" w:rsidP="00C63A2D">
      <w:pPr>
        <w:pStyle w:val="THELEADERSHIPCONFERENCE"/>
        <w:rPr>
          <w:szCs w:val="22"/>
        </w:rPr>
      </w:pPr>
      <w:r>
        <w:rPr>
          <w:szCs w:val="22"/>
        </w:rPr>
        <w:t>National Women’s Law Center, joined by:</w:t>
      </w:r>
    </w:p>
    <w:p w:rsidR="006E2CC0" w:rsidRDefault="006E2CC0" w:rsidP="00C63A2D">
      <w:pPr>
        <w:pStyle w:val="THELEADERSHIPCONFERENCE"/>
        <w:rPr>
          <w:szCs w:val="22"/>
        </w:rPr>
      </w:pPr>
    </w:p>
    <w:p w:rsidR="005A0AF3" w:rsidRPr="005A0AF3" w:rsidRDefault="005A0AF3" w:rsidP="005A0AF3">
      <w:pPr>
        <w:pStyle w:val="Default"/>
        <w:rPr>
          <w:sz w:val="22"/>
          <w:szCs w:val="22"/>
        </w:rPr>
      </w:pPr>
      <w:r w:rsidRPr="005A0AF3">
        <w:rPr>
          <w:sz w:val="22"/>
          <w:szCs w:val="22"/>
        </w:rPr>
        <w:t>Alliance for Girls</w:t>
      </w:r>
    </w:p>
    <w:p w:rsidR="005A0AF3" w:rsidRPr="005A0AF3" w:rsidRDefault="005A0AF3" w:rsidP="005A0AF3">
      <w:pPr>
        <w:pStyle w:val="Default"/>
        <w:rPr>
          <w:sz w:val="22"/>
          <w:szCs w:val="22"/>
        </w:rPr>
      </w:pPr>
      <w:r w:rsidRPr="005A0AF3">
        <w:rPr>
          <w:sz w:val="22"/>
          <w:szCs w:val="22"/>
        </w:rPr>
        <w:t>American Association of University Women (AAUW)</w:t>
      </w:r>
    </w:p>
    <w:p w:rsidR="005A0AF3" w:rsidRPr="005A0AF3" w:rsidRDefault="005A0AF3" w:rsidP="005A0AF3">
      <w:pPr>
        <w:pStyle w:val="Default"/>
        <w:rPr>
          <w:sz w:val="22"/>
          <w:szCs w:val="22"/>
        </w:rPr>
      </w:pPr>
      <w:r w:rsidRPr="005A0AF3">
        <w:rPr>
          <w:sz w:val="22"/>
          <w:szCs w:val="22"/>
        </w:rPr>
        <w:t xml:space="preserve">AAUW-San Francisco </w:t>
      </w:r>
    </w:p>
    <w:p w:rsidR="005A0AF3" w:rsidRPr="005A0AF3" w:rsidRDefault="005A0AF3" w:rsidP="005A0AF3">
      <w:pPr>
        <w:pStyle w:val="Default"/>
        <w:rPr>
          <w:sz w:val="22"/>
          <w:szCs w:val="22"/>
        </w:rPr>
      </w:pPr>
      <w:r w:rsidRPr="005A0AF3">
        <w:rPr>
          <w:sz w:val="22"/>
          <w:szCs w:val="22"/>
        </w:rPr>
        <w:t>American Federation of Teachers</w:t>
      </w:r>
    </w:p>
    <w:p w:rsidR="005A0AF3" w:rsidRPr="005A0AF3" w:rsidRDefault="005A0AF3" w:rsidP="005A0AF3">
      <w:pPr>
        <w:pStyle w:val="Default"/>
        <w:rPr>
          <w:sz w:val="22"/>
          <w:szCs w:val="22"/>
        </w:rPr>
      </w:pPr>
      <w:r w:rsidRPr="005A0AF3">
        <w:rPr>
          <w:sz w:val="22"/>
          <w:szCs w:val="22"/>
        </w:rPr>
        <w:t>American-Arab Anti-Discrimination Committee</w:t>
      </w:r>
    </w:p>
    <w:p w:rsidR="005A0AF3" w:rsidRPr="005A0AF3" w:rsidRDefault="005A0AF3" w:rsidP="005A0AF3">
      <w:pPr>
        <w:pStyle w:val="Default"/>
        <w:rPr>
          <w:sz w:val="22"/>
          <w:szCs w:val="22"/>
        </w:rPr>
      </w:pPr>
      <w:r w:rsidRPr="005A0AF3">
        <w:rPr>
          <w:sz w:val="22"/>
          <w:szCs w:val="22"/>
        </w:rPr>
        <w:t>Anti-Defamation League</w:t>
      </w:r>
    </w:p>
    <w:p w:rsidR="005A0AF3" w:rsidRPr="005A0AF3" w:rsidRDefault="005A0AF3" w:rsidP="005A0AF3">
      <w:pPr>
        <w:pStyle w:val="Default"/>
        <w:rPr>
          <w:sz w:val="22"/>
          <w:szCs w:val="22"/>
        </w:rPr>
      </w:pPr>
      <w:r w:rsidRPr="005A0AF3">
        <w:rPr>
          <w:sz w:val="22"/>
          <w:szCs w:val="22"/>
        </w:rPr>
        <w:t>The Arc</w:t>
      </w:r>
    </w:p>
    <w:p w:rsidR="005A0AF3" w:rsidRPr="005A0AF3" w:rsidRDefault="005A0AF3" w:rsidP="005A0AF3">
      <w:pPr>
        <w:pStyle w:val="Default"/>
        <w:rPr>
          <w:sz w:val="22"/>
          <w:szCs w:val="22"/>
        </w:rPr>
      </w:pPr>
      <w:r w:rsidRPr="005A0AF3">
        <w:rPr>
          <w:sz w:val="22"/>
          <w:szCs w:val="22"/>
        </w:rPr>
        <w:t>Asian Pacific American Labor Alliance, AFL-CIO (APALA)</w:t>
      </w:r>
    </w:p>
    <w:p w:rsidR="005A0AF3" w:rsidRPr="005A0AF3" w:rsidRDefault="005A0AF3" w:rsidP="005A0AF3">
      <w:pPr>
        <w:pStyle w:val="Default"/>
        <w:rPr>
          <w:sz w:val="22"/>
          <w:szCs w:val="22"/>
        </w:rPr>
      </w:pPr>
      <w:r w:rsidRPr="005A0AF3">
        <w:rPr>
          <w:sz w:val="22"/>
          <w:szCs w:val="22"/>
        </w:rPr>
        <w:lastRenderedPageBreak/>
        <w:t>Association of University Centers on Disabilities</w:t>
      </w:r>
    </w:p>
    <w:p w:rsidR="005A0AF3" w:rsidRPr="005A0AF3" w:rsidRDefault="005A0AF3" w:rsidP="005A0AF3">
      <w:pPr>
        <w:pStyle w:val="Default"/>
        <w:rPr>
          <w:sz w:val="22"/>
          <w:szCs w:val="22"/>
        </w:rPr>
      </w:pPr>
      <w:r w:rsidRPr="005A0AF3">
        <w:rPr>
          <w:sz w:val="22"/>
          <w:szCs w:val="22"/>
        </w:rPr>
        <w:t>Bay Area Girls Rock Camp</w:t>
      </w:r>
    </w:p>
    <w:p w:rsidR="005A0AF3" w:rsidRPr="005A0AF3" w:rsidRDefault="005A0AF3" w:rsidP="005A0AF3">
      <w:pPr>
        <w:pStyle w:val="Default"/>
        <w:rPr>
          <w:sz w:val="22"/>
          <w:szCs w:val="22"/>
        </w:rPr>
      </w:pPr>
      <w:r w:rsidRPr="005A0AF3">
        <w:rPr>
          <w:sz w:val="22"/>
          <w:szCs w:val="22"/>
        </w:rPr>
        <w:t>BLMNYC/EBG</w:t>
      </w:r>
    </w:p>
    <w:p w:rsidR="005A0AF3" w:rsidRPr="005A0AF3" w:rsidRDefault="005A0AF3" w:rsidP="005A0AF3">
      <w:pPr>
        <w:pStyle w:val="Default"/>
        <w:rPr>
          <w:sz w:val="22"/>
          <w:szCs w:val="22"/>
        </w:rPr>
      </w:pPr>
      <w:r w:rsidRPr="005A0AF3">
        <w:rPr>
          <w:sz w:val="22"/>
          <w:szCs w:val="22"/>
        </w:rPr>
        <w:t>The Body Positive</w:t>
      </w:r>
    </w:p>
    <w:p w:rsidR="005A0AF3" w:rsidRPr="005A0AF3" w:rsidRDefault="005A0AF3" w:rsidP="005A0AF3">
      <w:pPr>
        <w:pStyle w:val="Default"/>
        <w:rPr>
          <w:sz w:val="22"/>
          <w:szCs w:val="22"/>
        </w:rPr>
      </w:pPr>
      <w:r w:rsidRPr="005A0AF3">
        <w:rPr>
          <w:sz w:val="22"/>
          <w:szCs w:val="22"/>
        </w:rPr>
        <w:t>Breaking the Silence Philly (BTSPHL)</w:t>
      </w:r>
    </w:p>
    <w:p w:rsidR="005A0AF3" w:rsidRPr="005A0AF3" w:rsidRDefault="005A0AF3" w:rsidP="005A0AF3">
      <w:pPr>
        <w:pStyle w:val="Default"/>
        <w:rPr>
          <w:sz w:val="22"/>
          <w:szCs w:val="22"/>
        </w:rPr>
      </w:pPr>
      <w:r w:rsidRPr="005A0AF3">
        <w:rPr>
          <w:sz w:val="22"/>
          <w:szCs w:val="22"/>
        </w:rPr>
        <w:t>Brockport Social Work Association</w:t>
      </w:r>
    </w:p>
    <w:p w:rsidR="005A0AF3" w:rsidRPr="005A0AF3" w:rsidRDefault="005A0AF3" w:rsidP="005A0AF3">
      <w:pPr>
        <w:pStyle w:val="Default"/>
        <w:rPr>
          <w:sz w:val="22"/>
          <w:szCs w:val="22"/>
        </w:rPr>
      </w:pPr>
      <w:r w:rsidRPr="005A0AF3">
        <w:rPr>
          <w:sz w:val="22"/>
          <w:szCs w:val="22"/>
        </w:rPr>
        <w:t>Campus Pride</w:t>
      </w:r>
    </w:p>
    <w:p w:rsidR="005A0AF3" w:rsidRPr="005A0AF3" w:rsidRDefault="005A0AF3" w:rsidP="005A0AF3">
      <w:pPr>
        <w:pStyle w:val="Default"/>
        <w:rPr>
          <w:sz w:val="22"/>
          <w:szCs w:val="22"/>
        </w:rPr>
      </w:pPr>
      <w:r w:rsidRPr="005A0AF3">
        <w:rPr>
          <w:sz w:val="22"/>
          <w:szCs w:val="22"/>
        </w:rPr>
        <w:t>Casa de Esperanza: National Latin@ Network</w:t>
      </w:r>
    </w:p>
    <w:p w:rsidR="005A0AF3" w:rsidRPr="005A0AF3" w:rsidRDefault="005A0AF3" w:rsidP="005A0AF3">
      <w:pPr>
        <w:pStyle w:val="Default"/>
        <w:rPr>
          <w:sz w:val="22"/>
          <w:szCs w:val="22"/>
        </w:rPr>
      </w:pPr>
      <w:r w:rsidRPr="005A0AF3">
        <w:rPr>
          <w:sz w:val="22"/>
          <w:szCs w:val="22"/>
        </w:rPr>
        <w:t>Center for Women Policy Studies</w:t>
      </w:r>
    </w:p>
    <w:p w:rsidR="005A0AF3" w:rsidRPr="005A0AF3" w:rsidRDefault="005A0AF3" w:rsidP="005A0AF3">
      <w:pPr>
        <w:pStyle w:val="Default"/>
        <w:rPr>
          <w:sz w:val="22"/>
          <w:szCs w:val="22"/>
        </w:rPr>
      </w:pPr>
      <w:r w:rsidRPr="005A0AF3">
        <w:rPr>
          <w:sz w:val="22"/>
          <w:szCs w:val="22"/>
        </w:rPr>
        <w:t>Champion Women</w:t>
      </w:r>
    </w:p>
    <w:p w:rsidR="005A0AF3" w:rsidRPr="005A0AF3" w:rsidRDefault="005A0AF3" w:rsidP="005A0AF3">
      <w:pPr>
        <w:pStyle w:val="Default"/>
        <w:rPr>
          <w:sz w:val="22"/>
          <w:szCs w:val="22"/>
        </w:rPr>
      </w:pPr>
      <w:r w:rsidRPr="005A0AF3">
        <w:rPr>
          <w:sz w:val="22"/>
          <w:szCs w:val="22"/>
        </w:rPr>
        <w:t>Clearinghouse on Women's Issues</w:t>
      </w:r>
    </w:p>
    <w:p w:rsidR="005A0AF3" w:rsidRPr="005A0AF3" w:rsidRDefault="005A0AF3" w:rsidP="005A0AF3">
      <w:pPr>
        <w:pStyle w:val="Default"/>
        <w:rPr>
          <w:sz w:val="22"/>
          <w:szCs w:val="22"/>
        </w:rPr>
      </w:pPr>
      <w:r w:rsidRPr="005A0AF3">
        <w:rPr>
          <w:sz w:val="22"/>
          <w:szCs w:val="22"/>
        </w:rPr>
        <w:t>Disability Rights Education &amp; Defense Fund</w:t>
      </w:r>
    </w:p>
    <w:p w:rsidR="005A0AF3" w:rsidRPr="005A0AF3" w:rsidRDefault="005A0AF3" w:rsidP="005A0AF3">
      <w:pPr>
        <w:pStyle w:val="Default"/>
        <w:rPr>
          <w:sz w:val="22"/>
          <w:szCs w:val="22"/>
        </w:rPr>
      </w:pPr>
      <w:r w:rsidRPr="005A0AF3">
        <w:rPr>
          <w:sz w:val="22"/>
          <w:szCs w:val="22"/>
        </w:rPr>
        <w:t>Education Law Center-PA</w:t>
      </w:r>
    </w:p>
    <w:p w:rsidR="005A0AF3" w:rsidRPr="005A0AF3" w:rsidRDefault="005A0AF3" w:rsidP="005A0AF3">
      <w:pPr>
        <w:pStyle w:val="Default"/>
        <w:rPr>
          <w:sz w:val="22"/>
          <w:szCs w:val="22"/>
        </w:rPr>
      </w:pPr>
      <w:r w:rsidRPr="005A0AF3">
        <w:rPr>
          <w:sz w:val="22"/>
          <w:szCs w:val="22"/>
        </w:rPr>
        <w:t xml:space="preserve">End Rape </w:t>
      </w:r>
      <w:proofErr w:type="gramStart"/>
      <w:r w:rsidRPr="005A0AF3">
        <w:rPr>
          <w:sz w:val="22"/>
          <w:szCs w:val="22"/>
        </w:rPr>
        <w:t>On</w:t>
      </w:r>
      <w:proofErr w:type="gramEnd"/>
      <w:r w:rsidRPr="005A0AF3">
        <w:rPr>
          <w:sz w:val="22"/>
          <w:szCs w:val="22"/>
        </w:rPr>
        <w:t xml:space="preserve"> Campus (EROC)</w:t>
      </w:r>
    </w:p>
    <w:p w:rsidR="005A0AF3" w:rsidRPr="005A0AF3" w:rsidRDefault="005A0AF3" w:rsidP="005A0AF3">
      <w:pPr>
        <w:pStyle w:val="Default"/>
        <w:rPr>
          <w:sz w:val="22"/>
          <w:szCs w:val="22"/>
        </w:rPr>
      </w:pPr>
      <w:r w:rsidRPr="005A0AF3">
        <w:rPr>
          <w:sz w:val="22"/>
          <w:szCs w:val="22"/>
        </w:rPr>
        <w:t>FAIR Girls</w:t>
      </w:r>
    </w:p>
    <w:p w:rsidR="005A0AF3" w:rsidRPr="005A0AF3" w:rsidRDefault="005A0AF3" w:rsidP="005A0AF3">
      <w:pPr>
        <w:pStyle w:val="Default"/>
        <w:rPr>
          <w:sz w:val="22"/>
          <w:szCs w:val="22"/>
        </w:rPr>
      </w:pPr>
      <w:r w:rsidRPr="005A0AF3">
        <w:rPr>
          <w:sz w:val="22"/>
          <w:szCs w:val="22"/>
        </w:rPr>
        <w:t>Feminist Majority Foundation</w:t>
      </w:r>
    </w:p>
    <w:p w:rsidR="005A0AF3" w:rsidRPr="005A0AF3" w:rsidRDefault="005A0AF3" w:rsidP="005A0AF3">
      <w:pPr>
        <w:pStyle w:val="Default"/>
        <w:rPr>
          <w:sz w:val="22"/>
          <w:szCs w:val="22"/>
        </w:rPr>
      </w:pPr>
      <w:r w:rsidRPr="005A0AF3">
        <w:rPr>
          <w:sz w:val="22"/>
          <w:szCs w:val="22"/>
        </w:rPr>
        <w:t xml:space="preserve">FISA Foundation </w:t>
      </w:r>
    </w:p>
    <w:p w:rsidR="005A0AF3" w:rsidRPr="005A0AF3" w:rsidRDefault="005A0AF3" w:rsidP="005A0AF3">
      <w:pPr>
        <w:pStyle w:val="Default"/>
        <w:rPr>
          <w:sz w:val="22"/>
          <w:szCs w:val="22"/>
        </w:rPr>
      </w:pPr>
      <w:r w:rsidRPr="005A0AF3">
        <w:rPr>
          <w:sz w:val="22"/>
          <w:szCs w:val="22"/>
        </w:rPr>
        <w:t>Freedom Network USA</w:t>
      </w:r>
    </w:p>
    <w:p w:rsidR="005A0AF3" w:rsidRPr="005A0AF3" w:rsidRDefault="005A0AF3" w:rsidP="005A0AF3">
      <w:pPr>
        <w:pStyle w:val="Default"/>
        <w:rPr>
          <w:sz w:val="22"/>
          <w:szCs w:val="22"/>
        </w:rPr>
      </w:pPr>
      <w:r w:rsidRPr="005A0AF3">
        <w:rPr>
          <w:sz w:val="22"/>
          <w:szCs w:val="22"/>
        </w:rPr>
        <w:t xml:space="preserve">Futures </w:t>
      </w:r>
      <w:proofErr w:type="gramStart"/>
      <w:r w:rsidRPr="005A0AF3">
        <w:rPr>
          <w:sz w:val="22"/>
          <w:szCs w:val="22"/>
        </w:rPr>
        <w:t>Without</w:t>
      </w:r>
      <w:proofErr w:type="gramEnd"/>
      <w:r w:rsidRPr="005A0AF3">
        <w:rPr>
          <w:sz w:val="22"/>
          <w:szCs w:val="22"/>
        </w:rPr>
        <w:t xml:space="preserve"> Violence</w:t>
      </w:r>
    </w:p>
    <w:p w:rsidR="005A0AF3" w:rsidRPr="005A0AF3" w:rsidRDefault="005A0AF3" w:rsidP="005A0AF3">
      <w:pPr>
        <w:pStyle w:val="Default"/>
        <w:rPr>
          <w:sz w:val="22"/>
          <w:szCs w:val="22"/>
        </w:rPr>
      </w:pPr>
      <w:r w:rsidRPr="005A0AF3">
        <w:rPr>
          <w:sz w:val="22"/>
          <w:szCs w:val="22"/>
        </w:rPr>
        <w:t>Georgetown Law Center on Poverty and Inequality</w:t>
      </w:r>
    </w:p>
    <w:p w:rsidR="005A0AF3" w:rsidRPr="005A0AF3" w:rsidRDefault="005A0AF3" w:rsidP="005A0AF3">
      <w:pPr>
        <w:pStyle w:val="Default"/>
        <w:rPr>
          <w:sz w:val="22"/>
          <w:szCs w:val="22"/>
        </w:rPr>
      </w:pPr>
      <w:r w:rsidRPr="005A0AF3">
        <w:rPr>
          <w:sz w:val="22"/>
          <w:szCs w:val="22"/>
        </w:rPr>
        <w:t>Girls for Gender Equity</w:t>
      </w:r>
    </w:p>
    <w:p w:rsidR="005A0AF3" w:rsidRPr="005A0AF3" w:rsidRDefault="005A0AF3" w:rsidP="005A0AF3">
      <w:pPr>
        <w:pStyle w:val="Default"/>
        <w:rPr>
          <w:sz w:val="22"/>
          <w:szCs w:val="22"/>
        </w:rPr>
      </w:pPr>
      <w:r w:rsidRPr="005A0AF3">
        <w:rPr>
          <w:sz w:val="22"/>
          <w:szCs w:val="22"/>
        </w:rPr>
        <w:t xml:space="preserve">Girls Inc. </w:t>
      </w:r>
    </w:p>
    <w:p w:rsidR="005A0AF3" w:rsidRPr="005A0AF3" w:rsidRDefault="005A0AF3" w:rsidP="005A0AF3">
      <w:pPr>
        <w:pStyle w:val="Default"/>
        <w:rPr>
          <w:sz w:val="22"/>
          <w:szCs w:val="22"/>
        </w:rPr>
      </w:pPr>
      <w:r w:rsidRPr="005A0AF3">
        <w:rPr>
          <w:sz w:val="22"/>
          <w:szCs w:val="22"/>
        </w:rPr>
        <w:t xml:space="preserve">Girls </w:t>
      </w:r>
      <w:proofErr w:type="gramStart"/>
      <w:r w:rsidRPr="005A0AF3">
        <w:rPr>
          <w:sz w:val="22"/>
          <w:szCs w:val="22"/>
        </w:rPr>
        <w:t>On</w:t>
      </w:r>
      <w:proofErr w:type="gramEnd"/>
      <w:r w:rsidRPr="005A0AF3">
        <w:rPr>
          <w:sz w:val="22"/>
          <w:szCs w:val="22"/>
        </w:rPr>
        <w:t xml:space="preserve"> the Run International </w:t>
      </w:r>
    </w:p>
    <w:p w:rsidR="005A0AF3" w:rsidRPr="005A0AF3" w:rsidRDefault="005A0AF3" w:rsidP="005A0AF3">
      <w:pPr>
        <w:pStyle w:val="Default"/>
        <w:rPr>
          <w:sz w:val="22"/>
          <w:szCs w:val="22"/>
        </w:rPr>
      </w:pPr>
      <w:r w:rsidRPr="005A0AF3">
        <w:rPr>
          <w:sz w:val="22"/>
          <w:szCs w:val="22"/>
        </w:rPr>
        <w:t>GLSEN</w:t>
      </w:r>
    </w:p>
    <w:p w:rsidR="005A0AF3" w:rsidRPr="005A0AF3" w:rsidRDefault="005A0AF3" w:rsidP="005A0AF3">
      <w:pPr>
        <w:pStyle w:val="Default"/>
        <w:rPr>
          <w:sz w:val="22"/>
          <w:szCs w:val="22"/>
        </w:rPr>
      </w:pPr>
      <w:r w:rsidRPr="005A0AF3">
        <w:rPr>
          <w:sz w:val="22"/>
          <w:szCs w:val="22"/>
        </w:rPr>
        <w:t>GO! Athletes</w:t>
      </w:r>
    </w:p>
    <w:p w:rsidR="005A0AF3" w:rsidRPr="005A0AF3" w:rsidRDefault="005A0AF3" w:rsidP="005A0AF3">
      <w:pPr>
        <w:pStyle w:val="Default"/>
        <w:rPr>
          <w:sz w:val="22"/>
          <w:szCs w:val="22"/>
        </w:rPr>
      </w:pPr>
      <w:r w:rsidRPr="005A0AF3">
        <w:rPr>
          <w:sz w:val="22"/>
          <w:szCs w:val="22"/>
        </w:rPr>
        <w:t>Healthy Teen Network</w:t>
      </w:r>
    </w:p>
    <w:p w:rsidR="005A0AF3" w:rsidRPr="005A0AF3" w:rsidRDefault="005A0AF3" w:rsidP="005A0AF3">
      <w:pPr>
        <w:pStyle w:val="Default"/>
        <w:rPr>
          <w:sz w:val="22"/>
          <w:szCs w:val="22"/>
        </w:rPr>
      </w:pPr>
      <w:r w:rsidRPr="005A0AF3">
        <w:rPr>
          <w:sz w:val="22"/>
          <w:szCs w:val="22"/>
        </w:rPr>
        <w:t>Human Rights Campaign</w:t>
      </w:r>
    </w:p>
    <w:p w:rsidR="005A0AF3" w:rsidRPr="005A0AF3" w:rsidRDefault="005A0AF3" w:rsidP="005A0AF3">
      <w:pPr>
        <w:pStyle w:val="Default"/>
        <w:rPr>
          <w:sz w:val="22"/>
          <w:szCs w:val="22"/>
        </w:rPr>
      </w:pPr>
      <w:proofErr w:type="gramStart"/>
      <w:r w:rsidRPr="005A0AF3">
        <w:rPr>
          <w:sz w:val="22"/>
          <w:szCs w:val="22"/>
        </w:rPr>
        <w:t>In Our Own Voices, Inc.</w:t>
      </w:r>
      <w:proofErr w:type="gramEnd"/>
    </w:p>
    <w:p w:rsidR="005A0AF3" w:rsidRPr="005A0AF3" w:rsidRDefault="005A0AF3" w:rsidP="005A0AF3">
      <w:pPr>
        <w:pStyle w:val="Default"/>
        <w:rPr>
          <w:sz w:val="22"/>
          <w:szCs w:val="22"/>
        </w:rPr>
      </w:pPr>
      <w:r w:rsidRPr="005A0AF3">
        <w:rPr>
          <w:sz w:val="22"/>
          <w:szCs w:val="22"/>
        </w:rPr>
        <w:t>It's Time Network</w:t>
      </w:r>
    </w:p>
    <w:p w:rsidR="005A0AF3" w:rsidRPr="005A0AF3" w:rsidRDefault="005A0AF3" w:rsidP="005A0AF3">
      <w:pPr>
        <w:pStyle w:val="Default"/>
        <w:rPr>
          <w:sz w:val="22"/>
          <w:szCs w:val="22"/>
        </w:rPr>
      </w:pPr>
      <w:r w:rsidRPr="005A0AF3">
        <w:rPr>
          <w:sz w:val="22"/>
          <w:szCs w:val="22"/>
        </w:rPr>
        <w:t>Jewish Women International (JWI)</w:t>
      </w:r>
    </w:p>
    <w:p w:rsidR="005A0AF3" w:rsidRPr="005A0AF3" w:rsidRDefault="005A0AF3" w:rsidP="005A0AF3">
      <w:pPr>
        <w:pStyle w:val="Default"/>
        <w:rPr>
          <w:sz w:val="22"/>
          <w:szCs w:val="22"/>
        </w:rPr>
      </w:pPr>
      <w:r w:rsidRPr="005A0AF3">
        <w:rPr>
          <w:sz w:val="22"/>
          <w:szCs w:val="22"/>
        </w:rPr>
        <w:t>Know Your IX</w:t>
      </w:r>
    </w:p>
    <w:p w:rsidR="005A0AF3" w:rsidRPr="005A0AF3" w:rsidRDefault="005A0AF3" w:rsidP="005A0AF3">
      <w:pPr>
        <w:pStyle w:val="Default"/>
        <w:rPr>
          <w:sz w:val="22"/>
          <w:szCs w:val="22"/>
        </w:rPr>
      </w:pPr>
      <w:r w:rsidRPr="005A0AF3">
        <w:rPr>
          <w:sz w:val="22"/>
          <w:szCs w:val="22"/>
        </w:rPr>
        <w:t>The Leadership Conference on Civil and Human Rights</w:t>
      </w:r>
    </w:p>
    <w:p w:rsidR="005A0AF3" w:rsidRPr="005A0AF3" w:rsidRDefault="005A0AF3" w:rsidP="005A0AF3">
      <w:pPr>
        <w:pStyle w:val="Default"/>
        <w:rPr>
          <w:sz w:val="22"/>
          <w:szCs w:val="22"/>
        </w:rPr>
      </w:pPr>
      <w:r w:rsidRPr="005A0AF3">
        <w:rPr>
          <w:sz w:val="22"/>
          <w:szCs w:val="22"/>
        </w:rPr>
        <w:t>League of United Latin American Citizens</w:t>
      </w:r>
    </w:p>
    <w:p w:rsidR="005A0AF3" w:rsidRPr="005A0AF3" w:rsidRDefault="005A0AF3" w:rsidP="005A0AF3">
      <w:pPr>
        <w:pStyle w:val="Default"/>
        <w:rPr>
          <w:sz w:val="22"/>
          <w:szCs w:val="22"/>
        </w:rPr>
      </w:pPr>
      <w:r w:rsidRPr="005A0AF3">
        <w:rPr>
          <w:sz w:val="22"/>
          <w:szCs w:val="22"/>
        </w:rPr>
        <w:t>Legal Momentum</w:t>
      </w:r>
    </w:p>
    <w:p w:rsidR="005A0AF3" w:rsidRPr="005A0AF3" w:rsidRDefault="005A0AF3" w:rsidP="005A0AF3">
      <w:pPr>
        <w:pStyle w:val="Default"/>
        <w:rPr>
          <w:sz w:val="22"/>
          <w:szCs w:val="22"/>
        </w:rPr>
      </w:pPr>
      <w:r w:rsidRPr="005A0AF3">
        <w:rPr>
          <w:sz w:val="22"/>
          <w:szCs w:val="22"/>
        </w:rPr>
        <w:t>MALDEF</w:t>
      </w:r>
    </w:p>
    <w:p w:rsidR="005A0AF3" w:rsidRPr="005A0AF3" w:rsidRDefault="005A0AF3" w:rsidP="005A0AF3">
      <w:pPr>
        <w:pStyle w:val="Default"/>
        <w:rPr>
          <w:sz w:val="22"/>
          <w:szCs w:val="22"/>
        </w:rPr>
      </w:pPr>
      <w:r w:rsidRPr="005A0AF3">
        <w:rPr>
          <w:sz w:val="22"/>
          <w:szCs w:val="22"/>
        </w:rPr>
        <w:t>The Maryland Women's Heritage Center</w:t>
      </w:r>
    </w:p>
    <w:p w:rsidR="005A0AF3" w:rsidRPr="005A0AF3" w:rsidRDefault="005A0AF3" w:rsidP="005A0AF3">
      <w:pPr>
        <w:pStyle w:val="Default"/>
        <w:rPr>
          <w:sz w:val="22"/>
          <w:szCs w:val="22"/>
        </w:rPr>
      </w:pPr>
      <w:r w:rsidRPr="005A0AF3">
        <w:rPr>
          <w:sz w:val="22"/>
          <w:szCs w:val="22"/>
        </w:rPr>
        <w:t>Mosaic Family Services</w:t>
      </w:r>
    </w:p>
    <w:p w:rsidR="005A0AF3" w:rsidRPr="005A0AF3" w:rsidRDefault="005A0AF3" w:rsidP="005A0AF3">
      <w:pPr>
        <w:pStyle w:val="Default"/>
        <w:rPr>
          <w:sz w:val="22"/>
          <w:szCs w:val="22"/>
        </w:rPr>
      </w:pPr>
      <w:r w:rsidRPr="005A0AF3">
        <w:rPr>
          <w:sz w:val="22"/>
          <w:szCs w:val="22"/>
        </w:rPr>
        <w:t>NAACP</w:t>
      </w:r>
    </w:p>
    <w:p w:rsidR="005A0AF3" w:rsidRPr="005A0AF3" w:rsidRDefault="005A0AF3" w:rsidP="005A0AF3">
      <w:pPr>
        <w:pStyle w:val="Default"/>
        <w:rPr>
          <w:sz w:val="22"/>
          <w:szCs w:val="22"/>
        </w:rPr>
      </w:pPr>
      <w:r w:rsidRPr="005A0AF3">
        <w:rPr>
          <w:sz w:val="22"/>
          <w:szCs w:val="22"/>
        </w:rPr>
        <w:t>National Alliance for Partners in Equity (NAPE)</w:t>
      </w:r>
    </w:p>
    <w:p w:rsidR="005A0AF3" w:rsidRPr="005A0AF3" w:rsidRDefault="005A0AF3" w:rsidP="005A0AF3">
      <w:pPr>
        <w:pStyle w:val="Default"/>
        <w:rPr>
          <w:sz w:val="22"/>
          <w:szCs w:val="22"/>
        </w:rPr>
      </w:pPr>
      <w:r w:rsidRPr="005A0AF3">
        <w:rPr>
          <w:sz w:val="22"/>
          <w:szCs w:val="22"/>
        </w:rPr>
        <w:t>National Alliance to End Sexual Violence</w:t>
      </w:r>
    </w:p>
    <w:p w:rsidR="005A0AF3" w:rsidRPr="005A0AF3" w:rsidRDefault="005A0AF3" w:rsidP="005A0AF3">
      <w:pPr>
        <w:pStyle w:val="Default"/>
        <w:rPr>
          <w:sz w:val="22"/>
          <w:szCs w:val="22"/>
        </w:rPr>
      </w:pPr>
      <w:r w:rsidRPr="005A0AF3">
        <w:rPr>
          <w:sz w:val="22"/>
          <w:szCs w:val="22"/>
        </w:rPr>
        <w:t>National Asian Pacific American Women's Forum (NAPAWF)</w:t>
      </w:r>
    </w:p>
    <w:p w:rsidR="005A0AF3" w:rsidRPr="005A0AF3" w:rsidRDefault="005A0AF3" w:rsidP="005A0AF3">
      <w:pPr>
        <w:pStyle w:val="Default"/>
        <w:rPr>
          <w:sz w:val="22"/>
          <w:szCs w:val="22"/>
        </w:rPr>
      </w:pPr>
      <w:r w:rsidRPr="005A0AF3">
        <w:rPr>
          <w:sz w:val="22"/>
          <w:szCs w:val="22"/>
        </w:rPr>
        <w:t>National Center for Lesbian Rights</w:t>
      </w:r>
    </w:p>
    <w:p w:rsidR="005A0AF3" w:rsidRPr="005A0AF3" w:rsidRDefault="005A0AF3" w:rsidP="005A0AF3">
      <w:pPr>
        <w:pStyle w:val="Default"/>
        <w:rPr>
          <w:sz w:val="22"/>
          <w:szCs w:val="22"/>
        </w:rPr>
      </w:pPr>
      <w:r w:rsidRPr="005A0AF3">
        <w:rPr>
          <w:sz w:val="22"/>
          <w:szCs w:val="22"/>
        </w:rPr>
        <w:t>National Center for Transgender Equality</w:t>
      </w:r>
    </w:p>
    <w:p w:rsidR="005A0AF3" w:rsidRPr="005A0AF3" w:rsidRDefault="005A0AF3" w:rsidP="005A0AF3">
      <w:pPr>
        <w:pStyle w:val="Default"/>
        <w:rPr>
          <w:sz w:val="22"/>
          <w:szCs w:val="22"/>
        </w:rPr>
      </w:pPr>
      <w:r w:rsidRPr="005A0AF3">
        <w:rPr>
          <w:sz w:val="22"/>
          <w:szCs w:val="22"/>
        </w:rPr>
        <w:t xml:space="preserve">National Coalition </w:t>
      </w:r>
      <w:proofErr w:type="gramStart"/>
      <w:r w:rsidRPr="005A0AF3">
        <w:rPr>
          <w:sz w:val="22"/>
          <w:szCs w:val="22"/>
        </w:rPr>
        <w:t>Against</w:t>
      </w:r>
      <w:proofErr w:type="gramEnd"/>
      <w:r w:rsidRPr="005A0AF3">
        <w:rPr>
          <w:sz w:val="22"/>
          <w:szCs w:val="22"/>
        </w:rPr>
        <w:t xml:space="preserve"> Domestic Violence</w:t>
      </w:r>
    </w:p>
    <w:p w:rsidR="005A0AF3" w:rsidRPr="005A0AF3" w:rsidRDefault="005A0AF3" w:rsidP="005A0AF3">
      <w:pPr>
        <w:pStyle w:val="Default"/>
        <w:rPr>
          <w:sz w:val="22"/>
          <w:szCs w:val="22"/>
        </w:rPr>
      </w:pPr>
      <w:r w:rsidRPr="005A0AF3">
        <w:rPr>
          <w:sz w:val="22"/>
          <w:szCs w:val="22"/>
        </w:rPr>
        <w:t>National Council of Jewish Women</w:t>
      </w:r>
    </w:p>
    <w:p w:rsidR="005A0AF3" w:rsidRPr="005A0AF3" w:rsidRDefault="005A0AF3" w:rsidP="005A0AF3">
      <w:pPr>
        <w:pStyle w:val="Default"/>
        <w:rPr>
          <w:sz w:val="22"/>
          <w:szCs w:val="22"/>
        </w:rPr>
      </w:pPr>
      <w:r w:rsidRPr="005A0AF3">
        <w:rPr>
          <w:sz w:val="22"/>
          <w:szCs w:val="22"/>
        </w:rPr>
        <w:t>National Council of Juvenile and Family Court Judges (NCJFCJ)</w:t>
      </w:r>
    </w:p>
    <w:p w:rsidR="005A0AF3" w:rsidRPr="005A0AF3" w:rsidRDefault="005A0AF3" w:rsidP="005A0AF3">
      <w:pPr>
        <w:pStyle w:val="Default"/>
        <w:rPr>
          <w:sz w:val="22"/>
          <w:szCs w:val="22"/>
        </w:rPr>
      </w:pPr>
      <w:r w:rsidRPr="005A0AF3">
        <w:rPr>
          <w:sz w:val="22"/>
          <w:szCs w:val="22"/>
        </w:rPr>
        <w:t>National Council of La Raza</w:t>
      </w:r>
    </w:p>
    <w:p w:rsidR="005A0AF3" w:rsidRPr="005A0AF3" w:rsidRDefault="005A0AF3" w:rsidP="005A0AF3">
      <w:pPr>
        <w:pStyle w:val="Default"/>
        <w:rPr>
          <w:sz w:val="22"/>
          <w:szCs w:val="22"/>
        </w:rPr>
      </w:pPr>
      <w:r w:rsidRPr="005A0AF3">
        <w:rPr>
          <w:sz w:val="22"/>
          <w:szCs w:val="22"/>
        </w:rPr>
        <w:t>The National Crittenton Foundation</w:t>
      </w:r>
    </w:p>
    <w:p w:rsidR="005A0AF3" w:rsidRPr="005A0AF3" w:rsidRDefault="005A0AF3" w:rsidP="005A0AF3">
      <w:pPr>
        <w:pStyle w:val="Default"/>
        <w:rPr>
          <w:sz w:val="22"/>
          <w:szCs w:val="22"/>
        </w:rPr>
      </w:pPr>
      <w:r w:rsidRPr="005A0AF3">
        <w:rPr>
          <w:sz w:val="22"/>
          <w:szCs w:val="22"/>
        </w:rPr>
        <w:t>National Disability Rights Network</w:t>
      </w:r>
    </w:p>
    <w:p w:rsidR="005A0AF3" w:rsidRPr="005A0AF3" w:rsidRDefault="005A0AF3" w:rsidP="005A0AF3">
      <w:pPr>
        <w:pStyle w:val="Default"/>
        <w:rPr>
          <w:sz w:val="22"/>
          <w:szCs w:val="22"/>
        </w:rPr>
      </w:pPr>
      <w:r w:rsidRPr="005A0AF3">
        <w:rPr>
          <w:sz w:val="22"/>
          <w:szCs w:val="22"/>
        </w:rPr>
        <w:t>National Domestic Violence Hotline</w:t>
      </w:r>
    </w:p>
    <w:p w:rsidR="005A0AF3" w:rsidRPr="005A0AF3" w:rsidRDefault="005A0AF3" w:rsidP="005A0AF3">
      <w:pPr>
        <w:pStyle w:val="Default"/>
        <w:rPr>
          <w:sz w:val="22"/>
          <w:szCs w:val="22"/>
        </w:rPr>
      </w:pPr>
      <w:r w:rsidRPr="005A0AF3">
        <w:rPr>
          <w:sz w:val="22"/>
          <w:szCs w:val="22"/>
        </w:rPr>
        <w:t>National Education Association</w:t>
      </w:r>
    </w:p>
    <w:p w:rsidR="005A0AF3" w:rsidRPr="005A0AF3" w:rsidRDefault="005A0AF3" w:rsidP="005A0AF3">
      <w:pPr>
        <w:pStyle w:val="Default"/>
        <w:rPr>
          <w:sz w:val="22"/>
          <w:szCs w:val="22"/>
        </w:rPr>
      </w:pPr>
      <w:r w:rsidRPr="005A0AF3">
        <w:rPr>
          <w:sz w:val="22"/>
          <w:szCs w:val="22"/>
        </w:rPr>
        <w:lastRenderedPageBreak/>
        <w:t>National Organization for Women</w:t>
      </w:r>
    </w:p>
    <w:p w:rsidR="005A0AF3" w:rsidRPr="005A0AF3" w:rsidRDefault="005A0AF3" w:rsidP="005A0AF3">
      <w:pPr>
        <w:pStyle w:val="Default"/>
        <w:rPr>
          <w:sz w:val="22"/>
          <w:szCs w:val="22"/>
        </w:rPr>
      </w:pPr>
      <w:r w:rsidRPr="005A0AF3">
        <w:rPr>
          <w:sz w:val="22"/>
          <w:szCs w:val="22"/>
        </w:rPr>
        <w:t xml:space="preserve">National Women's Political Caucus </w:t>
      </w:r>
    </w:p>
    <w:p w:rsidR="005A0AF3" w:rsidRPr="005A0AF3" w:rsidRDefault="005A0AF3" w:rsidP="005A0AF3">
      <w:pPr>
        <w:pStyle w:val="Default"/>
        <w:rPr>
          <w:sz w:val="22"/>
          <w:szCs w:val="22"/>
        </w:rPr>
      </w:pPr>
      <w:proofErr w:type="gramStart"/>
      <w:r w:rsidRPr="005A0AF3">
        <w:rPr>
          <w:sz w:val="22"/>
          <w:szCs w:val="22"/>
        </w:rPr>
        <w:t>National Women's Political Caucus of Calif.</w:t>
      </w:r>
      <w:proofErr w:type="gramEnd"/>
    </w:p>
    <w:p w:rsidR="005A0AF3" w:rsidRPr="005A0AF3" w:rsidRDefault="005A0AF3" w:rsidP="005A0AF3">
      <w:pPr>
        <w:pStyle w:val="Default"/>
        <w:rPr>
          <w:sz w:val="22"/>
          <w:szCs w:val="22"/>
        </w:rPr>
      </w:pPr>
      <w:proofErr w:type="gramStart"/>
      <w:r w:rsidRPr="005A0AF3">
        <w:rPr>
          <w:sz w:val="22"/>
          <w:szCs w:val="22"/>
        </w:rPr>
        <w:t>National Women's Political Caucus</w:t>
      </w:r>
      <w:bookmarkStart w:id="0" w:name="_GoBack"/>
      <w:bookmarkEnd w:id="0"/>
      <w:r w:rsidRPr="005A0AF3">
        <w:rPr>
          <w:sz w:val="22"/>
          <w:szCs w:val="22"/>
        </w:rPr>
        <w:t xml:space="preserve"> of Fresno, Inc.</w:t>
      </w:r>
      <w:proofErr w:type="gramEnd"/>
    </w:p>
    <w:p w:rsidR="005A0AF3" w:rsidRPr="005A0AF3" w:rsidRDefault="005A0AF3" w:rsidP="005A0AF3">
      <w:pPr>
        <w:pStyle w:val="Default"/>
        <w:rPr>
          <w:sz w:val="22"/>
          <w:szCs w:val="22"/>
        </w:rPr>
      </w:pPr>
      <w:r w:rsidRPr="005A0AF3">
        <w:rPr>
          <w:sz w:val="22"/>
          <w:szCs w:val="22"/>
        </w:rPr>
        <w:t>National Women's Political Caucus, Sacramento</w:t>
      </w:r>
    </w:p>
    <w:p w:rsidR="005A0AF3" w:rsidRPr="005A0AF3" w:rsidRDefault="005A0AF3" w:rsidP="005A0AF3">
      <w:pPr>
        <w:pStyle w:val="Default"/>
        <w:rPr>
          <w:sz w:val="22"/>
          <w:szCs w:val="22"/>
        </w:rPr>
      </w:pPr>
      <w:r w:rsidRPr="005A0AF3">
        <w:rPr>
          <w:sz w:val="22"/>
          <w:szCs w:val="22"/>
        </w:rPr>
        <w:t>NWPC Silicon Valley</w:t>
      </w:r>
    </w:p>
    <w:p w:rsidR="005A0AF3" w:rsidRPr="005A0AF3" w:rsidRDefault="005A0AF3" w:rsidP="005A0AF3">
      <w:pPr>
        <w:pStyle w:val="Default"/>
        <w:rPr>
          <w:sz w:val="22"/>
          <w:szCs w:val="22"/>
        </w:rPr>
      </w:pPr>
      <w:r w:rsidRPr="005A0AF3">
        <w:rPr>
          <w:sz w:val="22"/>
          <w:szCs w:val="22"/>
        </w:rPr>
        <w:t>PAVE: Promoting Awareness, Victim Empowerment</w:t>
      </w:r>
    </w:p>
    <w:p w:rsidR="005A0AF3" w:rsidRPr="005A0AF3" w:rsidRDefault="005A0AF3" w:rsidP="005A0AF3">
      <w:pPr>
        <w:pStyle w:val="Default"/>
        <w:rPr>
          <w:sz w:val="22"/>
          <w:szCs w:val="22"/>
        </w:rPr>
      </w:pPr>
      <w:r w:rsidRPr="005A0AF3">
        <w:rPr>
          <w:sz w:val="22"/>
          <w:szCs w:val="22"/>
        </w:rPr>
        <w:t>Peers Envisioning and Engaging in Recovery Services (PEERS)</w:t>
      </w:r>
    </w:p>
    <w:p w:rsidR="005A0AF3" w:rsidRPr="005A0AF3" w:rsidRDefault="005A0AF3" w:rsidP="005A0AF3">
      <w:pPr>
        <w:pStyle w:val="Default"/>
        <w:rPr>
          <w:sz w:val="22"/>
          <w:szCs w:val="22"/>
        </w:rPr>
      </w:pPr>
      <w:r w:rsidRPr="005A0AF3">
        <w:rPr>
          <w:sz w:val="22"/>
          <w:szCs w:val="22"/>
        </w:rPr>
        <w:t>The Red Web Foundation</w:t>
      </w:r>
    </w:p>
    <w:p w:rsidR="005A0AF3" w:rsidRPr="005A0AF3" w:rsidRDefault="005A0AF3" w:rsidP="005A0AF3">
      <w:pPr>
        <w:pStyle w:val="Default"/>
        <w:rPr>
          <w:sz w:val="22"/>
          <w:szCs w:val="22"/>
        </w:rPr>
      </w:pPr>
      <w:r w:rsidRPr="005A0AF3">
        <w:rPr>
          <w:sz w:val="22"/>
          <w:szCs w:val="22"/>
        </w:rPr>
        <w:t>Rights4Girls</w:t>
      </w:r>
    </w:p>
    <w:p w:rsidR="005A0AF3" w:rsidRPr="005A0AF3" w:rsidRDefault="005A0AF3" w:rsidP="005A0AF3">
      <w:pPr>
        <w:pStyle w:val="Default"/>
        <w:rPr>
          <w:sz w:val="22"/>
          <w:szCs w:val="22"/>
        </w:rPr>
      </w:pPr>
      <w:proofErr w:type="gramStart"/>
      <w:r w:rsidRPr="005A0AF3">
        <w:rPr>
          <w:sz w:val="22"/>
          <w:szCs w:val="22"/>
        </w:rPr>
        <w:t>Robert F Kennedy Children Action Corps.</w:t>
      </w:r>
      <w:proofErr w:type="gramEnd"/>
    </w:p>
    <w:p w:rsidR="005A0AF3" w:rsidRPr="005A0AF3" w:rsidRDefault="005A0AF3" w:rsidP="005A0AF3">
      <w:pPr>
        <w:pStyle w:val="Default"/>
        <w:rPr>
          <w:sz w:val="22"/>
          <w:szCs w:val="22"/>
        </w:rPr>
      </w:pPr>
      <w:r w:rsidRPr="005A0AF3">
        <w:rPr>
          <w:sz w:val="22"/>
          <w:szCs w:val="22"/>
        </w:rPr>
        <w:t>San Francisco Girls Chorus</w:t>
      </w:r>
    </w:p>
    <w:p w:rsidR="005A0AF3" w:rsidRPr="005A0AF3" w:rsidRDefault="005A0AF3" w:rsidP="005A0AF3">
      <w:pPr>
        <w:pStyle w:val="Default"/>
        <w:rPr>
          <w:sz w:val="22"/>
          <w:szCs w:val="22"/>
        </w:rPr>
      </w:pPr>
      <w:r w:rsidRPr="005A0AF3">
        <w:rPr>
          <w:sz w:val="22"/>
          <w:szCs w:val="22"/>
        </w:rPr>
        <w:t>Southeast Asia Resource Action Center</w:t>
      </w:r>
    </w:p>
    <w:p w:rsidR="005A0AF3" w:rsidRPr="005A0AF3" w:rsidRDefault="005A0AF3" w:rsidP="005A0AF3">
      <w:pPr>
        <w:pStyle w:val="Default"/>
        <w:rPr>
          <w:sz w:val="22"/>
          <w:szCs w:val="22"/>
        </w:rPr>
      </w:pPr>
      <w:r w:rsidRPr="005A0AF3">
        <w:rPr>
          <w:sz w:val="22"/>
          <w:szCs w:val="22"/>
        </w:rPr>
        <w:t>Southern Poverty Law Center</w:t>
      </w:r>
    </w:p>
    <w:p w:rsidR="005A0AF3" w:rsidRPr="005A0AF3" w:rsidRDefault="005A0AF3" w:rsidP="005A0AF3">
      <w:pPr>
        <w:pStyle w:val="Default"/>
        <w:rPr>
          <w:sz w:val="22"/>
          <w:szCs w:val="22"/>
        </w:rPr>
      </w:pPr>
      <w:r w:rsidRPr="005A0AF3">
        <w:rPr>
          <w:sz w:val="22"/>
          <w:szCs w:val="22"/>
        </w:rPr>
        <w:t>Stop Sexual Assault in Schools (SSAIS.org)</w:t>
      </w:r>
    </w:p>
    <w:p w:rsidR="005A0AF3" w:rsidRPr="005A0AF3" w:rsidRDefault="005A0AF3" w:rsidP="005A0AF3">
      <w:pPr>
        <w:pStyle w:val="Default"/>
        <w:rPr>
          <w:sz w:val="22"/>
          <w:szCs w:val="22"/>
        </w:rPr>
      </w:pPr>
      <w:r w:rsidRPr="005A0AF3">
        <w:rPr>
          <w:sz w:val="22"/>
          <w:szCs w:val="22"/>
        </w:rPr>
        <w:t>SurvJustice Inc.</w:t>
      </w:r>
    </w:p>
    <w:p w:rsidR="005A0AF3" w:rsidRPr="005A0AF3" w:rsidRDefault="005A0AF3" w:rsidP="005A0AF3">
      <w:pPr>
        <w:pStyle w:val="Default"/>
        <w:rPr>
          <w:sz w:val="22"/>
          <w:szCs w:val="22"/>
        </w:rPr>
      </w:pPr>
      <w:r w:rsidRPr="005A0AF3">
        <w:rPr>
          <w:sz w:val="22"/>
          <w:szCs w:val="22"/>
        </w:rPr>
        <w:t>Title IX and Clery Act Consulting, LLC</w:t>
      </w:r>
    </w:p>
    <w:p w:rsidR="005A0AF3" w:rsidRPr="005A0AF3" w:rsidRDefault="005A0AF3" w:rsidP="005A0AF3">
      <w:pPr>
        <w:pStyle w:val="Default"/>
        <w:rPr>
          <w:sz w:val="22"/>
          <w:szCs w:val="22"/>
        </w:rPr>
      </w:pPr>
      <w:r w:rsidRPr="005A0AF3">
        <w:rPr>
          <w:sz w:val="22"/>
          <w:szCs w:val="22"/>
        </w:rPr>
        <w:t>TransAthlete.com</w:t>
      </w:r>
    </w:p>
    <w:p w:rsidR="005A0AF3" w:rsidRPr="005A0AF3" w:rsidRDefault="005A0AF3" w:rsidP="005A0AF3">
      <w:pPr>
        <w:pStyle w:val="Default"/>
        <w:rPr>
          <w:sz w:val="22"/>
          <w:szCs w:val="22"/>
        </w:rPr>
      </w:pPr>
      <w:r w:rsidRPr="005A0AF3">
        <w:rPr>
          <w:sz w:val="22"/>
          <w:szCs w:val="22"/>
        </w:rPr>
        <w:t>Turning Heads</w:t>
      </w:r>
    </w:p>
    <w:p w:rsidR="005A0AF3" w:rsidRPr="005A0AF3" w:rsidRDefault="005A0AF3" w:rsidP="005A0AF3">
      <w:pPr>
        <w:pStyle w:val="Default"/>
        <w:rPr>
          <w:sz w:val="22"/>
          <w:szCs w:val="22"/>
        </w:rPr>
      </w:pPr>
      <w:r w:rsidRPr="005A0AF3">
        <w:rPr>
          <w:sz w:val="22"/>
          <w:szCs w:val="22"/>
        </w:rPr>
        <w:t>Waddell Consulting Services</w:t>
      </w:r>
    </w:p>
    <w:p w:rsidR="005A0AF3" w:rsidRPr="005A0AF3" w:rsidRDefault="005A0AF3" w:rsidP="005A0AF3">
      <w:pPr>
        <w:pStyle w:val="Default"/>
        <w:rPr>
          <w:sz w:val="22"/>
          <w:szCs w:val="22"/>
        </w:rPr>
      </w:pPr>
      <w:r w:rsidRPr="005A0AF3">
        <w:rPr>
          <w:sz w:val="22"/>
          <w:szCs w:val="22"/>
        </w:rPr>
        <w:t>Willpowered Woman</w:t>
      </w:r>
    </w:p>
    <w:p w:rsidR="005A0AF3" w:rsidRPr="005A0AF3" w:rsidRDefault="005A0AF3" w:rsidP="005A0AF3">
      <w:pPr>
        <w:pStyle w:val="Default"/>
        <w:rPr>
          <w:sz w:val="22"/>
          <w:szCs w:val="22"/>
        </w:rPr>
      </w:pPr>
      <w:r w:rsidRPr="005A0AF3">
        <w:rPr>
          <w:sz w:val="22"/>
          <w:szCs w:val="22"/>
        </w:rPr>
        <w:t>Women's Law Project</w:t>
      </w:r>
    </w:p>
    <w:p w:rsidR="005A0AF3" w:rsidRPr="005A0AF3" w:rsidRDefault="005A0AF3" w:rsidP="005A0AF3">
      <w:pPr>
        <w:pStyle w:val="Default"/>
        <w:rPr>
          <w:sz w:val="22"/>
          <w:szCs w:val="22"/>
        </w:rPr>
      </w:pPr>
      <w:r w:rsidRPr="005A0AF3">
        <w:rPr>
          <w:sz w:val="22"/>
          <w:szCs w:val="22"/>
        </w:rPr>
        <w:t>Women's Sports Foundation</w:t>
      </w:r>
    </w:p>
    <w:p w:rsidR="005A0AF3" w:rsidRPr="005A0AF3" w:rsidRDefault="005A0AF3" w:rsidP="005A0AF3">
      <w:pPr>
        <w:pStyle w:val="Default"/>
        <w:rPr>
          <w:sz w:val="22"/>
          <w:szCs w:val="22"/>
        </w:rPr>
      </w:pPr>
      <w:r w:rsidRPr="005A0AF3">
        <w:rPr>
          <w:sz w:val="22"/>
          <w:szCs w:val="22"/>
        </w:rPr>
        <w:t>Xinachtli Rites of Passage</w:t>
      </w:r>
    </w:p>
    <w:p w:rsidR="0028447E" w:rsidRDefault="005A0AF3" w:rsidP="005A0AF3">
      <w:pPr>
        <w:pStyle w:val="Default"/>
      </w:pPr>
      <w:r w:rsidRPr="005A0AF3">
        <w:rPr>
          <w:sz w:val="22"/>
          <w:szCs w:val="22"/>
        </w:rPr>
        <w:t>Young Women's Freedom Center</w:t>
      </w:r>
    </w:p>
    <w:sectPr w:rsidR="0028447E" w:rsidSect="00C06C09">
      <w:footerReference w:type="default" r:id="rId9"/>
      <w:footerReference w:type="first" r:id="rId10"/>
      <w:pgSz w:w="12240" w:h="15840" w:code="1"/>
      <w:pgMar w:top="1440" w:right="1440" w:bottom="1440" w:left="1440" w:header="720" w:footer="64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A2D" w:rsidRDefault="00C63A2D" w:rsidP="00C63A2D">
      <w:r>
        <w:separator/>
      </w:r>
    </w:p>
  </w:endnote>
  <w:endnote w:type="continuationSeparator" w:id="0">
    <w:p w:rsidR="00C63A2D" w:rsidRDefault="00C63A2D" w:rsidP="00C63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564" w:rsidRDefault="00455FDE">
    <w:pPr>
      <w:pStyle w:val="Footer"/>
      <w:jc w:val="right"/>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564" w:rsidRDefault="00455FDE">
    <w:pPr>
      <w:pStyle w:val="Footer"/>
      <w:jc w:val="right"/>
    </w:pPr>
    <w:r>
      <w:object w:dxaOrig="7906" w:dyaOrig="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6pt;height:31.5pt" o:ole="">
          <v:imagedata r:id="rId1" o:title=""/>
        </v:shape>
        <o:OLEObject Type="Embed" ProgID="Word.Picture.8" ShapeID="_x0000_i1025" DrawAspect="Content" ObjectID="_1529909879" r:id="rId2"/>
      </w:obje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A2D" w:rsidRDefault="00C63A2D" w:rsidP="00C63A2D">
      <w:r>
        <w:separator/>
      </w:r>
    </w:p>
  </w:footnote>
  <w:footnote w:type="continuationSeparator" w:id="0">
    <w:p w:rsidR="00C63A2D" w:rsidRDefault="00C63A2D" w:rsidP="00C63A2D">
      <w:r>
        <w:continuationSeparator/>
      </w:r>
    </w:p>
  </w:footnote>
  <w:footnote w:id="1">
    <w:p w:rsidR="00C63A2D" w:rsidRDefault="00C63A2D" w:rsidP="00C63A2D">
      <w:pPr>
        <w:pStyle w:val="FootnoteText"/>
        <w:tabs>
          <w:tab w:val="left" w:pos="1080"/>
        </w:tabs>
      </w:pPr>
      <w:r>
        <w:rPr>
          <w:rStyle w:val="FootnoteReference"/>
        </w:rPr>
        <w:footnoteRef/>
      </w:r>
      <w:r>
        <w:t xml:space="preserve"> Furthermore, the 2011 guidance clarified a 2001 guidance document on sexual harassment that did go through an elective notice and comment period.</w:t>
      </w:r>
    </w:p>
  </w:footnote>
  <w:footnote w:id="2">
    <w:p w:rsidR="00C63A2D" w:rsidRDefault="00C63A2D" w:rsidP="00C63A2D">
      <w:pPr>
        <w:tabs>
          <w:tab w:val="left" w:pos="1080"/>
        </w:tabs>
        <w:rPr>
          <w:rFonts w:ascii="Times" w:hAnsi="Times"/>
          <w:sz w:val="20"/>
          <w:szCs w:val="20"/>
        </w:rPr>
      </w:pPr>
      <w:r>
        <w:rPr>
          <w:rStyle w:val="FootnoteReference"/>
        </w:rPr>
        <w:footnoteRef/>
      </w:r>
      <w:r>
        <w:t xml:space="preserve"> </w:t>
      </w:r>
      <w:r>
        <w:rPr>
          <w:rFonts w:ascii="Times" w:hAnsi="Times"/>
          <w:i/>
          <w:sz w:val="20"/>
          <w:szCs w:val="20"/>
        </w:rPr>
        <w:t xml:space="preserve">Perez v. Mortgage Bankers </w:t>
      </w:r>
      <w:proofErr w:type="spellStart"/>
      <w:r>
        <w:rPr>
          <w:rFonts w:ascii="Times" w:hAnsi="Times"/>
          <w:i/>
          <w:sz w:val="20"/>
          <w:szCs w:val="20"/>
        </w:rPr>
        <w:t>Ass'n</w:t>
      </w:r>
      <w:proofErr w:type="spellEnd"/>
      <w:r>
        <w:rPr>
          <w:rFonts w:ascii="Times" w:hAnsi="Times"/>
          <w:sz w:val="20"/>
          <w:szCs w:val="20"/>
        </w:rPr>
        <w:t>, 135 S. Ct. 1199, 1204 (2015); 5 U.S.C. § 553(b</w:t>
      </w:r>
      <w:proofErr w:type="gramStart"/>
      <w:r>
        <w:rPr>
          <w:rFonts w:ascii="Times" w:hAnsi="Times"/>
          <w:sz w:val="20"/>
          <w:szCs w:val="20"/>
        </w:rPr>
        <w:t>)(</w:t>
      </w:r>
      <w:proofErr w:type="gramEnd"/>
      <w:r>
        <w:rPr>
          <w:rFonts w:ascii="Times" w:hAnsi="Times"/>
          <w:sz w:val="20"/>
          <w:szCs w:val="20"/>
        </w:rPr>
        <w:t>A).</w:t>
      </w:r>
    </w:p>
  </w:footnote>
  <w:footnote w:id="3">
    <w:p w:rsidR="00C63A2D" w:rsidRDefault="00C63A2D" w:rsidP="00C63A2D">
      <w:pPr>
        <w:tabs>
          <w:tab w:val="left" w:pos="1080"/>
        </w:tabs>
        <w:rPr>
          <w:rFonts w:ascii="Times" w:hAnsi="Times"/>
          <w:sz w:val="20"/>
          <w:szCs w:val="20"/>
        </w:rPr>
      </w:pPr>
      <w:r>
        <w:rPr>
          <w:rStyle w:val="FootnoteReference"/>
        </w:rPr>
        <w:footnoteRef/>
      </w:r>
      <w:r>
        <w:t xml:space="preserve"> </w:t>
      </w:r>
      <w:r>
        <w:rPr>
          <w:rFonts w:ascii="Times" w:hAnsi="Times"/>
          <w:i/>
          <w:sz w:val="20"/>
          <w:szCs w:val="20"/>
        </w:rPr>
        <w:t>Id.</w:t>
      </w:r>
      <w:r>
        <w:rPr>
          <w:rFonts w:ascii="Times" w:hAnsi="Times"/>
          <w:sz w:val="20"/>
          <w:szCs w:val="20"/>
        </w:rPr>
        <w:t xml:space="preserve">, 135 S. Ct. at 1204; </w:t>
      </w:r>
      <w:r>
        <w:rPr>
          <w:rFonts w:ascii="Times" w:hAnsi="Times"/>
          <w:i/>
          <w:sz w:val="20"/>
          <w:szCs w:val="20"/>
        </w:rPr>
        <w:t>Shalala v. Guernsey Memorial Hospital</w:t>
      </w:r>
      <w:r>
        <w:rPr>
          <w:rFonts w:ascii="Times" w:hAnsi="Times"/>
          <w:sz w:val="20"/>
          <w:szCs w:val="20"/>
        </w:rPr>
        <w:t xml:space="preserve">, 514 U.S. 87,  99 (1995); </w:t>
      </w:r>
      <w:r>
        <w:rPr>
          <w:rFonts w:ascii="Times" w:hAnsi="Times"/>
          <w:i/>
          <w:sz w:val="20"/>
          <w:szCs w:val="20"/>
        </w:rPr>
        <w:t>Lincoln v. Vigil</w:t>
      </w:r>
      <w:r>
        <w:rPr>
          <w:rFonts w:ascii="Times" w:hAnsi="Times"/>
          <w:sz w:val="20"/>
          <w:szCs w:val="20"/>
        </w:rPr>
        <w:t xml:space="preserve">, 508 U.S. 182, 196-97 (1993); </w:t>
      </w:r>
      <w:r>
        <w:rPr>
          <w:rFonts w:ascii="Times" w:hAnsi="Times"/>
          <w:i/>
          <w:sz w:val="20"/>
          <w:szCs w:val="20"/>
        </w:rPr>
        <w:t>Chrysler Corp. v. Brown</w:t>
      </w:r>
      <w:r>
        <w:rPr>
          <w:rFonts w:ascii="Times" w:hAnsi="Times"/>
          <w:sz w:val="20"/>
          <w:szCs w:val="20"/>
        </w:rPr>
        <w:t xml:space="preserve">, 441 U.S. 281, 302, n. 31 (1979); </w:t>
      </w:r>
      <w:r>
        <w:rPr>
          <w:rFonts w:ascii="Times" w:hAnsi="Times"/>
          <w:i/>
          <w:sz w:val="20"/>
          <w:szCs w:val="20"/>
        </w:rPr>
        <w:t>United States v. Florida East Coast Railway Co.</w:t>
      </w:r>
      <w:r>
        <w:rPr>
          <w:rFonts w:ascii="Times" w:hAnsi="Times"/>
          <w:sz w:val="20"/>
          <w:szCs w:val="20"/>
        </w:rPr>
        <w:t>, 410 U.S. 224, 240-41 (1972); 5 U.S.C. § 553(b)(A).</w:t>
      </w:r>
    </w:p>
  </w:footnote>
  <w:footnote w:id="4">
    <w:p w:rsidR="00C63A2D" w:rsidRDefault="00C63A2D" w:rsidP="00C63A2D">
      <w:pPr>
        <w:pStyle w:val="FootnoteText"/>
        <w:tabs>
          <w:tab w:val="left" w:pos="1080"/>
        </w:tabs>
      </w:pPr>
      <w:r>
        <w:rPr>
          <w:rStyle w:val="FootnoteReference"/>
        </w:rPr>
        <w:footnoteRef/>
      </w:r>
      <w:r>
        <w:t xml:space="preserve"> </w:t>
      </w:r>
      <w:proofErr w:type="gramStart"/>
      <w:r>
        <w:rPr>
          <w:i/>
        </w:rPr>
        <w:t>Perez</w:t>
      </w:r>
      <w:r>
        <w:t>, 135 S. Ct. at 1204.</w:t>
      </w:r>
      <w:proofErr w:type="gramEnd"/>
      <w:r>
        <w:t xml:space="preserve"> </w:t>
      </w:r>
    </w:p>
  </w:footnote>
  <w:footnote w:id="5">
    <w:p w:rsidR="00C63A2D" w:rsidRDefault="00C63A2D" w:rsidP="00C63A2D">
      <w:pPr>
        <w:pStyle w:val="FootnoteText"/>
        <w:tabs>
          <w:tab w:val="left" w:pos="1080"/>
        </w:tabs>
      </w:pPr>
      <w:r>
        <w:rPr>
          <w:rStyle w:val="FootnoteReference"/>
        </w:rPr>
        <w:footnoteRef/>
      </w:r>
      <w:r>
        <w:t xml:space="preserve"> </w:t>
      </w:r>
      <w:proofErr w:type="gramStart"/>
      <w:r>
        <w:t>34</w:t>
      </w:r>
      <w:proofErr w:type="gramEnd"/>
      <w:r>
        <w:t xml:space="preserve"> C.F.R. §106.8(b). </w:t>
      </w:r>
    </w:p>
  </w:footnote>
  <w:footnote w:id="6">
    <w:p w:rsidR="00C63A2D" w:rsidRDefault="00C63A2D" w:rsidP="00C63A2D">
      <w:pPr>
        <w:pStyle w:val="FootnoteText"/>
        <w:tabs>
          <w:tab w:val="left" w:pos="1080"/>
        </w:tabs>
      </w:pPr>
      <w:r>
        <w:rPr>
          <w:rStyle w:val="FootnoteReference"/>
        </w:rPr>
        <w:footnoteRef/>
      </w:r>
      <w:r>
        <w:t xml:space="preserve"> </w:t>
      </w:r>
      <w:proofErr w:type="gramStart"/>
      <w:r>
        <w:rPr>
          <w:i/>
        </w:rPr>
        <w:t>See, e.g.</w:t>
      </w:r>
      <w:r>
        <w:t>,</w:t>
      </w:r>
      <w:r>
        <w:rPr>
          <w:i/>
        </w:rPr>
        <w:t xml:space="preserve"> </w:t>
      </w:r>
      <w:proofErr w:type="spellStart"/>
      <w:r>
        <w:rPr>
          <w:i/>
        </w:rPr>
        <w:t>Elston</w:t>
      </w:r>
      <w:proofErr w:type="spellEnd"/>
      <w:r>
        <w:rPr>
          <w:i/>
        </w:rPr>
        <w:t xml:space="preserve"> v. Talladega </w:t>
      </w:r>
      <w:proofErr w:type="spellStart"/>
      <w:r>
        <w:rPr>
          <w:i/>
        </w:rPr>
        <w:t>Cnty</w:t>
      </w:r>
      <w:proofErr w:type="spellEnd"/>
      <w:r>
        <w:rPr>
          <w:i/>
        </w:rPr>
        <w:t>.</w:t>
      </w:r>
      <w:proofErr w:type="gramEnd"/>
      <w:r>
        <w:rPr>
          <w:i/>
        </w:rPr>
        <w:t xml:space="preserve"> Bd. of Educ.</w:t>
      </w:r>
      <w:r>
        <w:t xml:space="preserve">, 997 F.2d 1394, 1407 (11th Cir. 1993); </w:t>
      </w:r>
      <w:r>
        <w:rPr>
          <w:i/>
        </w:rPr>
        <w:t>Lynch v. Belden &amp; Co.</w:t>
      </w:r>
      <w:r>
        <w:t>, 882 F.2d 262, 267, 269 (</w:t>
      </w:r>
      <w:proofErr w:type="gramStart"/>
      <w:r>
        <w:t>7th</w:t>
      </w:r>
      <w:proofErr w:type="gramEnd"/>
      <w:r>
        <w:t xml:space="preserve"> Cir. 1989);</w:t>
      </w:r>
      <w:r>
        <w:rPr>
          <w:i/>
        </w:rPr>
        <w:t xml:space="preserve"> </w:t>
      </w:r>
      <w:r>
        <w:t>42 U.S.C. § 20001 (2006)</w:t>
      </w:r>
      <w:r w:rsidR="005109D7">
        <w:t>.</w:t>
      </w:r>
    </w:p>
  </w:footnote>
  <w:footnote w:id="7">
    <w:p w:rsidR="00C63A2D" w:rsidRDefault="00C63A2D" w:rsidP="00C63A2D">
      <w:pPr>
        <w:pStyle w:val="FootnoteText"/>
        <w:tabs>
          <w:tab w:val="left" w:pos="1080"/>
        </w:tabs>
      </w:pPr>
      <w:r>
        <w:rPr>
          <w:rStyle w:val="FootnoteReference"/>
        </w:rPr>
        <w:footnoteRef/>
      </w:r>
      <w:r>
        <w:t xml:space="preserve"> </w:t>
      </w:r>
      <w:r>
        <w:rPr>
          <w:i/>
        </w:rPr>
        <w:t>See</w:t>
      </w:r>
      <w:r>
        <w:t xml:space="preserve"> </w:t>
      </w:r>
      <w:r>
        <w:rPr>
          <w:i/>
        </w:rPr>
        <w:t>Goss v. Lopez</w:t>
      </w:r>
      <w:r>
        <w:t xml:space="preserve">, 419 U.S. 565, </w:t>
      </w:r>
      <w:proofErr w:type="gramStart"/>
      <w:r>
        <w:t>579</w:t>
      </w:r>
      <w:proofErr w:type="gramEnd"/>
      <w:r>
        <w:t xml:space="preserve"> &amp; 583 (1975) (“[S]</w:t>
      </w:r>
      <w:proofErr w:type="spellStart"/>
      <w:r>
        <w:t>tudents</w:t>
      </w:r>
      <w:proofErr w:type="spellEnd"/>
      <w:r>
        <w:t xml:space="preserve"> facing suspension [in public educational institutions] must be given some kind of notice and afforded some kind of hearing. . . . We stop short of construing the Due Process Clause to require, countrywide, that hearings in connection with short suspensions must afford the student the opportunity to secure counsel, to confront and cross-examine witnesses supporting the charge, or to call his own witnesses to verify his version of the incident.”).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1" w:cryptProviderType="rsaFull" w:cryptAlgorithmClass="hash" w:cryptAlgorithmType="typeAny" w:cryptAlgorithmSid="4" w:cryptSpinCount="100000" w:hash="33rvh88MPMMBORrU92JE9qJmnQM=" w:salt="Ox5I4zo8HVbZhgIEKrJi8A=="/>
  <w:defaultTabStop w:val="720"/>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A2D"/>
    <w:rsid w:val="0028447E"/>
    <w:rsid w:val="002F40F6"/>
    <w:rsid w:val="003D37F8"/>
    <w:rsid w:val="00455FDE"/>
    <w:rsid w:val="005109D7"/>
    <w:rsid w:val="005A0AF3"/>
    <w:rsid w:val="00687992"/>
    <w:rsid w:val="006E2CC0"/>
    <w:rsid w:val="008F4FEC"/>
    <w:rsid w:val="009F028C"/>
    <w:rsid w:val="00C63A2D"/>
    <w:rsid w:val="00EF1A85"/>
    <w:rsid w:val="00F44BDB"/>
    <w:rsid w:val="00FB1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A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63A2D"/>
    <w:pPr>
      <w:tabs>
        <w:tab w:val="center" w:pos="4320"/>
        <w:tab w:val="right" w:pos="8640"/>
      </w:tabs>
    </w:pPr>
  </w:style>
  <w:style w:type="character" w:customStyle="1" w:styleId="HeaderChar">
    <w:name w:val="Header Char"/>
    <w:basedOn w:val="DefaultParagraphFont"/>
    <w:link w:val="Header"/>
    <w:uiPriority w:val="99"/>
    <w:rsid w:val="00C63A2D"/>
    <w:rPr>
      <w:rFonts w:ascii="Times New Roman" w:eastAsia="Times New Roman" w:hAnsi="Times New Roman" w:cs="Times New Roman"/>
      <w:sz w:val="24"/>
      <w:szCs w:val="24"/>
    </w:rPr>
  </w:style>
  <w:style w:type="paragraph" w:styleId="Footer">
    <w:name w:val="footer"/>
    <w:basedOn w:val="Normal"/>
    <w:link w:val="FooterChar"/>
    <w:rsid w:val="00C63A2D"/>
    <w:pPr>
      <w:tabs>
        <w:tab w:val="center" w:pos="4320"/>
        <w:tab w:val="right" w:pos="8640"/>
      </w:tabs>
    </w:pPr>
  </w:style>
  <w:style w:type="character" w:customStyle="1" w:styleId="FooterChar">
    <w:name w:val="Footer Char"/>
    <w:basedOn w:val="DefaultParagraphFont"/>
    <w:link w:val="Footer"/>
    <w:rsid w:val="00C63A2D"/>
    <w:rPr>
      <w:rFonts w:ascii="Times New Roman" w:eastAsia="Times New Roman" w:hAnsi="Times New Roman" w:cs="Times New Roman"/>
      <w:sz w:val="24"/>
      <w:szCs w:val="24"/>
    </w:rPr>
  </w:style>
  <w:style w:type="paragraph" w:customStyle="1" w:styleId="THELEADERSHIPCONFERENCE">
    <w:name w:val="THE LEADERSHIP CONFERENCE"/>
    <w:basedOn w:val="Normal"/>
    <w:qFormat/>
    <w:rsid w:val="00C63A2D"/>
    <w:pPr>
      <w:tabs>
        <w:tab w:val="left" w:pos="180"/>
      </w:tabs>
      <w:spacing w:line="280" w:lineRule="exact"/>
    </w:pPr>
    <w:rPr>
      <w:rFonts w:eastAsia="Cambria"/>
      <w:sz w:val="22"/>
    </w:rPr>
  </w:style>
  <w:style w:type="paragraph" w:styleId="FootnoteText">
    <w:name w:val="footnote text"/>
    <w:basedOn w:val="Normal"/>
    <w:link w:val="FootnoteTextChar"/>
    <w:uiPriority w:val="99"/>
    <w:semiHidden/>
    <w:unhideWhenUsed/>
    <w:rsid w:val="00C63A2D"/>
    <w:rPr>
      <w:sz w:val="20"/>
      <w:szCs w:val="20"/>
    </w:rPr>
  </w:style>
  <w:style w:type="character" w:customStyle="1" w:styleId="FootnoteTextChar">
    <w:name w:val="Footnote Text Char"/>
    <w:basedOn w:val="DefaultParagraphFont"/>
    <w:link w:val="FootnoteText"/>
    <w:uiPriority w:val="99"/>
    <w:semiHidden/>
    <w:rsid w:val="00C63A2D"/>
    <w:rPr>
      <w:rFonts w:ascii="Times New Roman" w:eastAsia="Times New Roman" w:hAnsi="Times New Roman" w:cs="Times New Roman"/>
      <w:sz w:val="20"/>
      <w:szCs w:val="20"/>
    </w:rPr>
  </w:style>
  <w:style w:type="character" w:styleId="FootnoteReference">
    <w:name w:val="footnote reference"/>
    <w:uiPriority w:val="99"/>
    <w:semiHidden/>
    <w:unhideWhenUsed/>
    <w:rsid w:val="00C63A2D"/>
    <w:rPr>
      <w:vertAlign w:val="superscript"/>
    </w:rPr>
  </w:style>
  <w:style w:type="character" w:styleId="Hyperlink">
    <w:name w:val="Hyperlink"/>
    <w:basedOn w:val="DefaultParagraphFont"/>
    <w:unhideWhenUsed/>
    <w:rsid w:val="00C63A2D"/>
    <w:rPr>
      <w:color w:val="0000FF" w:themeColor="hyperlink"/>
      <w:u w:val="single"/>
    </w:rPr>
  </w:style>
  <w:style w:type="paragraph" w:customStyle="1" w:styleId="Default">
    <w:name w:val="Default"/>
    <w:rsid w:val="006E2CC0"/>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A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63A2D"/>
    <w:pPr>
      <w:tabs>
        <w:tab w:val="center" w:pos="4320"/>
        <w:tab w:val="right" w:pos="8640"/>
      </w:tabs>
    </w:pPr>
  </w:style>
  <w:style w:type="character" w:customStyle="1" w:styleId="HeaderChar">
    <w:name w:val="Header Char"/>
    <w:basedOn w:val="DefaultParagraphFont"/>
    <w:link w:val="Header"/>
    <w:uiPriority w:val="99"/>
    <w:rsid w:val="00C63A2D"/>
    <w:rPr>
      <w:rFonts w:ascii="Times New Roman" w:eastAsia="Times New Roman" w:hAnsi="Times New Roman" w:cs="Times New Roman"/>
      <w:sz w:val="24"/>
      <w:szCs w:val="24"/>
    </w:rPr>
  </w:style>
  <w:style w:type="paragraph" w:styleId="Footer">
    <w:name w:val="footer"/>
    <w:basedOn w:val="Normal"/>
    <w:link w:val="FooterChar"/>
    <w:rsid w:val="00C63A2D"/>
    <w:pPr>
      <w:tabs>
        <w:tab w:val="center" w:pos="4320"/>
        <w:tab w:val="right" w:pos="8640"/>
      </w:tabs>
    </w:pPr>
  </w:style>
  <w:style w:type="character" w:customStyle="1" w:styleId="FooterChar">
    <w:name w:val="Footer Char"/>
    <w:basedOn w:val="DefaultParagraphFont"/>
    <w:link w:val="Footer"/>
    <w:rsid w:val="00C63A2D"/>
    <w:rPr>
      <w:rFonts w:ascii="Times New Roman" w:eastAsia="Times New Roman" w:hAnsi="Times New Roman" w:cs="Times New Roman"/>
      <w:sz w:val="24"/>
      <w:szCs w:val="24"/>
    </w:rPr>
  </w:style>
  <w:style w:type="paragraph" w:customStyle="1" w:styleId="THELEADERSHIPCONFERENCE">
    <w:name w:val="THE LEADERSHIP CONFERENCE"/>
    <w:basedOn w:val="Normal"/>
    <w:qFormat/>
    <w:rsid w:val="00C63A2D"/>
    <w:pPr>
      <w:tabs>
        <w:tab w:val="left" w:pos="180"/>
      </w:tabs>
      <w:spacing w:line="280" w:lineRule="exact"/>
    </w:pPr>
    <w:rPr>
      <w:rFonts w:eastAsia="Cambria"/>
      <w:sz w:val="22"/>
    </w:rPr>
  </w:style>
  <w:style w:type="paragraph" w:styleId="FootnoteText">
    <w:name w:val="footnote text"/>
    <w:basedOn w:val="Normal"/>
    <w:link w:val="FootnoteTextChar"/>
    <w:uiPriority w:val="99"/>
    <w:semiHidden/>
    <w:unhideWhenUsed/>
    <w:rsid w:val="00C63A2D"/>
    <w:rPr>
      <w:sz w:val="20"/>
      <w:szCs w:val="20"/>
    </w:rPr>
  </w:style>
  <w:style w:type="character" w:customStyle="1" w:styleId="FootnoteTextChar">
    <w:name w:val="Footnote Text Char"/>
    <w:basedOn w:val="DefaultParagraphFont"/>
    <w:link w:val="FootnoteText"/>
    <w:uiPriority w:val="99"/>
    <w:semiHidden/>
    <w:rsid w:val="00C63A2D"/>
    <w:rPr>
      <w:rFonts w:ascii="Times New Roman" w:eastAsia="Times New Roman" w:hAnsi="Times New Roman" w:cs="Times New Roman"/>
      <w:sz w:val="20"/>
      <w:szCs w:val="20"/>
    </w:rPr>
  </w:style>
  <w:style w:type="character" w:styleId="FootnoteReference">
    <w:name w:val="footnote reference"/>
    <w:uiPriority w:val="99"/>
    <w:semiHidden/>
    <w:unhideWhenUsed/>
    <w:rsid w:val="00C63A2D"/>
    <w:rPr>
      <w:vertAlign w:val="superscript"/>
    </w:rPr>
  </w:style>
  <w:style w:type="character" w:styleId="Hyperlink">
    <w:name w:val="Hyperlink"/>
    <w:basedOn w:val="DefaultParagraphFont"/>
    <w:unhideWhenUsed/>
    <w:rsid w:val="00C63A2D"/>
    <w:rPr>
      <w:color w:val="0000FF" w:themeColor="hyperlink"/>
      <w:u w:val="single"/>
    </w:rPr>
  </w:style>
  <w:style w:type="paragraph" w:customStyle="1" w:styleId="Default">
    <w:name w:val="Default"/>
    <w:rsid w:val="006E2CC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ocrawford@nwlc.org" TargetMode="External"/><Relationship Id="rId3" Type="http://schemas.openxmlformats.org/officeDocument/2006/relationships/settings" Target="settings.xml"/><Relationship Id="rId7" Type="http://schemas.openxmlformats.org/officeDocument/2006/relationships/hyperlink" Target="mailto:nchaudhry@nwlc.org"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1107</Words>
  <Characters>6315</Characters>
  <Application>Microsoft Office Word</Application>
  <DocSecurity>8</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Onyeka-Crawford, Adaku</dc:creator>
  <cp:lastModifiedBy>Onyeka-Crawford, Adaku</cp:lastModifiedBy>
  <cp:revision>2</cp:revision>
  <cp:lastPrinted>2016-07-13T14:08:00Z</cp:lastPrinted>
  <dcterms:created xsi:type="dcterms:W3CDTF">2016-07-13T14:12:00Z</dcterms:created>
  <dcterms:modified xsi:type="dcterms:W3CDTF">2016-07-13T14:12:00Z</dcterms:modified>
</cp:coreProperties>
</file>